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F4" w:rsidRDefault="0094148D" w:rsidP="00852A20">
      <w:pPr>
        <w:ind w:left="-567" w:right="119" w:firstLine="284"/>
        <w:jc w:val="both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 xml:space="preserve">                         </w:t>
      </w:r>
      <w:r w:rsidR="003417D4">
        <w:rPr>
          <w:rFonts w:cstheme="minorHAnsi"/>
          <w:b/>
          <w:bCs/>
          <w:sz w:val="52"/>
          <w:szCs w:val="52"/>
        </w:rPr>
        <w:t>Periodontology</w:t>
      </w:r>
    </w:p>
    <w:p w:rsidR="003417D4" w:rsidRDefault="00647BE8" w:rsidP="00852A20">
      <w:pPr>
        <w:ind w:left="-567" w:right="119" w:firstLine="284"/>
        <w:jc w:val="both"/>
        <w:rPr>
          <w:rFonts w:cstheme="minorHAnsi"/>
          <w:b/>
          <w:bCs/>
          <w:sz w:val="28"/>
          <w:szCs w:val="28"/>
          <w:u w:val="single"/>
        </w:rPr>
      </w:pPr>
      <w:r w:rsidRPr="0047211E">
        <w:rPr>
          <w:rFonts w:cstheme="minorHAnsi"/>
          <w:b/>
          <w:bCs/>
          <w:sz w:val="32"/>
          <w:szCs w:val="32"/>
        </w:rPr>
        <w:t>Lec.4</w:t>
      </w:r>
      <w:r w:rsidR="00E45E1D" w:rsidRPr="0047211E">
        <w:rPr>
          <w:rFonts w:cstheme="minorHAnsi"/>
          <w:b/>
          <w:bCs/>
          <w:sz w:val="32"/>
          <w:szCs w:val="32"/>
        </w:rPr>
        <w:t xml:space="preserve">  </w:t>
      </w:r>
      <w:r w:rsidRPr="0047211E">
        <w:rPr>
          <w:rFonts w:cstheme="minorHAnsi"/>
          <w:b/>
          <w:bCs/>
          <w:sz w:val="32"/>
          <w:szCs w:val="32"/>
        </w:rPr>
        <w:t xml:space="preserve">                       </w:t>
      </w:r>
      <w:r w:rsidR="0047211E">
        <w:rPr>
          <w:rFonts w:cstheme="minorHAnsi"/>
          <w:b/>
          <w:bCs/>
          <w:sz w:val="36"/>
          <w:szCs w:val="36"/>
        </w:rPr>
        <w:t xml:space="preserve"> </w:t>
      </w:r>
      <w:r w:rsidR="00852A20">
        <w:rPr>
          <w:rFonts w:cstheme="minorHAnsi"/>
          <w:b/>
          <w:bCs/>
          <w:sz w:val="36"/>
          <w:szCs w:val="36"/>
        </w:rPr>
        <w:t xml:space="preserve">   </w:t>
      </w:r>
      <w:r w:rsidR="0047211E">
        <w:rPr>
          <w:rFonts w:cstheme="minorHAnsi"/>
          <w:b/>
          <w:bCs/>
          <w:sz w:val="36"/>
          <w:szCs w:val="36"/>
        </w:rPr>
        <w:t xml:space="preserve"> </w:t>
      </w:r>
      <w:r w:rsidR="00E45E1D" w:rsidRPr="0047211E">
        <w:rPr>
          <w:rFonts w:cstheme="minorHAnsi"/>
          <w:b/>
          <w:bCs/>
          <w:sz w:val="36"/>
          <w:szCs w:val="36"/>
          <w:u w:val="single"/>
        </w:rPr>
        <w:t>Furcation Involvement</w:t>
      </w:r>
      <w:r w:rsidRPr="00647BE8">
        <w:rPr>
          <w:rFonts w:cstheme="minorHAnsi"/>
          <w:b/>
          <w:bCs/>
          <w:sz w:val="36"/>
          <w:szCs w:val="36"/>
        </w:rPr>
        <w:t xml:space="preserve">              </w:t>
      </w:r>
      <w:r w:rsidR="0047211E">
        <w:rPr>
          <w:rFonts w:cstheme="minorHAnsi"/>
          <w:b/>
          <w:bCs/>
          <w:sz w:val="36"/>
          <w:szCs w:val="36"/>
        </w:rPr>
        <w:t xml:space="preserve">   </w:t>
      </w:r>
      <w:r w:rsidR="0094148D">
        <w:rPr>
          <w:rFonts w:cstheme="minorHAnsi"/>
          <w:b/>
          <w:bCs/>
          <w:sz w:val="36"/>
          <w:szCs w:val="36"/>
        </w:rPr>
        <w:t xml:space="preserve">    </w:t>
      </w:r>
      <w:r w:rsidR="0047211E">
        <w:rPr>
          <w:rFonts w:cstheme="minorHAnsi"/>
          <w:b/>
          <w:bCs/>
          <w:sz w:val="36"/>
          <w:szCs w:val="36"/>
        </w:rPr>
        <w:t xml:space="preserve"> </w:t>
      </w:r>
      <w:r w:rsidR="0047211E" w:rsidRPr="0094148D">
        <w:rPr>
          <w:rFonts w:cstheme="minorHAnsi"/>
          <w:b/>
          <w:bCs/>
          <w:sz w:val="24"/>
          <w:szCs w:val="24"/>
        </w:rPr>
        <w:t xml:space="preserve">Dr. Huda </w:t>
      </w:r>
      <w:proofErr w:type="spellStart"/>
      <w:r w:rsidR="0047211E" w:rsidRPr="0094148D">
        <w:rPr>
          <w:rFonts w:cstheme="minorHAnsi"/>
          <w:b/>
          <w:bCs/>
          <w:sz w:val="24"/>
          <w:szCs w:val="24"/>
        </w:rPr>
        <w:t>Jasim</w:t>
      </w:r>
      <w:proofErr w:type="spellEnd"/>
      <w:r w:rsidR="0047211E" w:rsidRPr="0094148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7211E" w:rsidRPr="0094148D">
        <w:rPr>
          <w:rFonts w:cstheme="minorHAnsi"/>
          <w:b/>
          <w:bCs/>
          <w:sz w:val="24"/>
          <w:szCs w:val="24"/>
        </w:rPr>
        <w:t>Jebur</w:t>
      </w:r>
      <w:proofErr w:type="spellEnd"/>
      <w:r w:rsidR="0047211E" w:rsidRPr="0094148D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852A20" w:rsidRDefault="00852A20" w:rsidP="00852A20">
      <w:pPr>
        <w:ind w:left="-567" w:right="119" w:firstLine="284"/>
        <w:jc w:val="both"/>
        <w:rPr>
          <w:rFonts w:cstheme="minorHAnsi"/>
          <w:b/>
          <w:bCs/>
          <w:sz w:val="36"/>
          <w:szCs w:val="36"/>
          <w:u w:val="single"/>
        </w:rPr>
      </w:pPr>
    </w:p>
    <w:p w:rsidR="000579D2" w:rsidRDefault="000579D2" w:rsidP="00852A20">
      <w:pPr>
        <w:ind w:left="-567" w:right="119" w:firstLine="284"/>
        <w:jc w:val="both"/>
        <w:rPr>
          <w:rFonts w:cstheme="minorHAnsi"/>
          <w:sz w:val="20"/>
          <w:szCs w:val="20"/>
        </w:rPr>
      </w:pPr>
      <w:r w:rsidRPr="00844EF2">
        <w:rPr>
          <w:rFonts w:cstheme="minorHAnsi"/>
          <w:sz w:val="24"/>
          <w:szCs w:val="24"/>
        </w:rPr>
        <w:t xml:space="preserve">The term furcation involvement” refers to invasion of the bifurcation and/or trifurcation of </w:t>
      </w:r>
      <w:proofErr w:type="spellStart"/>
      <w:r w:rsidRPr="00844EF2">
        <w:rPr>
          <w:rFonts w:cstheme="minorHAnsi"/>
          <w:sz w:val="24"/>
          <w:szCs w:val="24"/>
        </w:rPr>
        <w:t>multirooted</w:t>
      </w:r>
      <w:proofErr w:type="spellEnd"/>
      <w:r w:rsidRPr="00844EF2">
        <w:rPr>
          <w:rFonts w:cstheme="minorHAnsi"/>
          <w:sz w:val="24"/>
          <w:szCs w:val="24"/>
        </w:rPr>
        <w:t xml:space="preserve"> teeth by periodontal </w:t>
      </w:r>
      <w:r w:rsidR="00844EF2" w:rsidRPr="00844EF2">
        <w:rPr>
          <w:rFonts w:cstheme="minorHAnsi"/>
          <w:sz w:val="24"/>
          <w:szCs w:val="24"/>
        </w:rPr>
        <w:t>disease. The</w:t>
      </w:r>
      <w:r w:rsidRPr="00844EF2">
        <w:rPr>
          <w:rFonts w:cstheme="minorHAnsi"/>
          <w:sz w:val="24"/>
          <w:szCs w:val="24"/>
        </w:rPr>
        <w:t xml:space="preserve"> primary etiological factor for furcation involvement is bacterial plaque which plays an important role in the etiology of gingivitis and destructive periodontal disease &amp; the long – standing inflammation of periodontal tissues</w:t>
      </w:r>
      <w:r w:rsidRPr="00844EF2">
        <w:rPr>
          <w:rFonts w:cstheme="minorHAnsi"/>
          <w:sz w:val="20"/>
          <w:szCs w:val="20"/>
        </w:rPr>
        <w:t>.</w:t>
      </w:r>
    </w:p>
    <w:p w:rsidR="00852A20" w:rsidRDefault="00852A20" w:rsidP="0094148D">
      <w:pPr>
        <w:ind w:right="119"/>
        <w:jc w:val="both"/>
        <w:rPr>
          <w:rFonts w:cstheme="minorHAnsi"/>
          <w:sz w:val="20"/>
          <w:szCs w:val="20"/>
        </w:rPr>
      </w:pPr>
    </w:p>
    <w:p w:rsidR="00844EF2" w:rsidRPr="009F058B" w:rsidRDefault="00844EF2" w:rsidP="00852A20">
      <w:pPr>
        <w:pStyle w:val="ListParagraph"/>
        <w:numPr>
          <w:ilvl w:val="0"/>
          <w:numId w:val="10"/>
        </w:numPr>
        <w:ind w:left="-567" w:right="119" w:firstLine="284"/>
        <w:jc w:val="both"/>
        <w:rPr>
          <w:rFonts w:cstheme="minorHAnsi"/>
          <w:b/>
          <w:bCs/>
          <w:sz w:val="28"/>
          <w:szCs w:val="28"/>
        </w:rPr>
      </w:pPr>
      <w:r w:rsidRPr="009F058B">
        <w:rPr>
          <w:rFonts w:cstheme="minorHAnsi"/>
          <w:b/>
          <w:bCs/>
          <w:sz w:val="28"/>
          <w:szCs w:val="28"/>
        </w:rPr>
        <w:t>Terms frequently used in furcation involvement</w:t>
      </w:r>
    </w:p>
    <w:p w:rsidR="00844EF2" w:rsidRDefault="00844EF2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  <w:r w:rsidRPr="00844EF2">
        <w:rPr>
          <w:rFonts w:cstheme="minorHAnsi"/>
          <w:b/>
          <w:bCs/>
          <w:sz w:val="24"/>
          <w:szCs w:val="24"/>
          <w:u w:val="single"/>
        </w:rPr>
        <w:t>Root complex</w:t>
      </w:r>
      <w:r w:rsidRPr="00844EF2">
        <w:rPr>
          <w:rFonts w:cstheme="minorHAnsi"/>
          <w:sz w:val="24"/>
          <w:szCs w:val="24"/>
        </w:rPr>
        <w:t xml:space="preserve"> is the portion of a tooth that is located apical to the </w:t>
      </w:r>
      <w:proofErr w:type="spellStart"/>
      <w:r w:rsidRPr="00844EF2">
        <w:rPr>
          <w:rFonts w:cstheme="minorHAnsi"/>
          <w:sz w:val="24"/>
          <w:szCs w:val="24"/>
        </w:rPr>
        <w:t>cemento</w:t>
      </w:r>
      <w:proofErr w:type="spellEnd"/>
      <w:r w:rsidRPr="00844EF2">
        <w:rPr>
          <w:rFonts w:cstheme="minorHAnsi"/>
          <w:sz w:val="24"/>
          <w:szCs w:val="24"/>
        </w:rPr>
        <w:t>-enamel junction (CEJ), i.e. the portion that normally is covered with a root cementum.</w:t>
      </w:r>
      <w:r w:rsidRPr="00E042DF">
        <w:rPr>
          <w:rFonts w:cstheme="minorHAnsi"/>
          <w:b/>
          <w:bCs/>
          <w:sz w:val="24"/>
          <w:szCs w:val="24"/>
        </w:rPr>
        <w:t>The root complex may be divided into two parts: the root trunk and the root cone</w:t>
      </w:r>
      <w:r w:rsidR="00E042DF" w:rsidRPr="00E042DF">
        <w:rPr>
          <w:rFonts w:cstheme="minorHAnsi"/>
          <w:b/>
          <w:bCs/>
          <w:sz w:val="24"/>
          <w:szCs w:val="24"/>
        </w:rPr>
        <w:t>.</w:t>
      </w:r>
    </w:p>
    <w:p w:rsidR="001B4152" w:rsidRDefault="001B4152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1B4152">
        <w:rPr>
          <w:rFonts w:cstheme="minorHAnsi"/>
          <w:b/>
          <w:bCs/>
          <w:sz w:val="24"/>
          <w:szCs w:val="24"/>
          <w:u w:val="single"/>
        </w:rPr>
        <w:t>The root trunk</w:t>
      </w:r>
      <w:r w:rsidRPr="001B4152">
        <w:rPr>
          <w:rFonts w:cstheme="minorHAnsi"/>
          <w:sz w:val="24"/>
          <w:szCs w:val="24"/>
        </w:rPr>
        <w:t xml:space="preserve"> represents the undivided region of the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root. The height of the root trunk is defined as the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distance between the CEJ and the separation line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(furcation) between two root cones (roots). Depending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on the position of the separation line, the height of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the root trunk may vary from one surface to the next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in one given molar or premolar.</w:t>
      </w:r>
    </w:p>
    <w:p w:rsidR="00EB52AB" w:rsidRDefault="001B4152" w:rsidP="00852A20">
      <w:pPr>
        <w:ind w:left="-567" w:right="119" w:firstLine="284"/>
        <w:jc w:val="both"/>
      </w:pPr>
      <w:r w:rsidRPr="001B4152">
        <w:rPr>
          <w:rFonts w:cstheme="minorHAnsi"/>
          <w:b/>
          <w:bCs/>
          <w:sz w:val="24"/>
          <w:szCs w:val="24"/>
          <w:u w:val="single"/>
        </w:rPr>
        <w:t>The root cone</w:t>
      </w:r>
      <w:r w:rsidRPr="001B4152">
        <w:rPr>
          <w:rFonts w:cstheme="minorHAnsi"/>
          <w:sz w:val="24"/>
          <w:szCs w:val="24"/>
        </w:rPr>
        <w:t xml:space="preserve"> is included in the divided region of the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root complex. The root cone (root) may vary in size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and position, and may at certain levels be connected</w:t>
      </w:r>
      <w:r>
        <w:rPr>
          <w:rFonts w:cstheme="minorHAnsi"/>
          <w:sz w:val="24"/>
          <w:szCs w:val="24"/>
        </w:rPr>
        <w:t xml:space="preserve"> </w:t>
      </w:r>
      <w:r w:rsidRPr="001B4152">
        <w:rPr>
          <w:rFonts w:cstheme="minorHAnsi"/>
          <w:sz w:val="24"/>
          <w:szCs w:val="24"/>
        </w:rPr>
        <w:t>to or separated from other root cones.</w:t>
      </w:r>
      <w:r w:rsidR="00EB52AB" w:rsidRPr="00EB52AB">
        <w:t xml:space="preserve"> </w:t>
      </w:r>
    </w:p>
    <w:p w:rsidR="001B4152" w:rsidRDefault="00EB52AB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EB52AB">
        <w:rPr>
          <w:rFonts w:cstheme="minorHAnsi"/>
          <w:sz w:val="24"/>
          <w:szCs w:val="24"/>
        </w:rPr>
        <w:t>Two or more</w:t>
      </w:r>
      <w:r>
        <w:rPr>
          <w:rFonts w:cstheme="minorHAnsi"/>
          <w:sz w:val="24"/>
          <w:szCs w:val="24"/>
        </w:rPr>
        <w:t xml:space="preserve"> </w:t>
      </w:r>
      <w:r w:rsidRPr="00EB52AB">
        <w:rPr>
          <w:rFonts w:cstheme="minorHAnsi"/>
          <w:sz w:val="24"/>
          <w:szCs w:val="24"/>
        </w:rPr>
        <w:t xml:space="preserve">root cones make up the </w:t>
      </w:r>
      <w:r w:rsidRPr="00EB52AB">
        <w:rPr>
          <w:rFonts w:cstheme="minorHAnsi"/>
          <w:b/>
          <w:bCs/>
          <w:sz w:val="24"/>
          <w:szCs w:val="24"/>
          <w:u w:val="single"/>
        </w:rPr>
        <w:t>furcated region</w:t>
      </w:r>
      <w:r w:rsidRPr="00EB52AB">
        <w:rPr>
          <w:rFonts w:cstheme="minorHAnsi"/>
          <w:sz w:val="24"/>
          <w:szCs w:val="24"/>
        </w:rPr>
        <w:t xml:space="preserve"> of the root complex</w:t>
      </w:r>
      <w:r>
        <w:rPr>
          <w:rFonts w:cstheme="minorHAnsi"/>
          <w:sz w:val="24"/>
          <w:szCs w:val="24"/>
        </w:rPr>
        <w:t>.</w:t>
      </w:r>
    </w:p>
    <w:p w:rsidR="000D7B02" w:rsidRDefault="000D7B02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0D7B02">
        <w:rPr>
          <w:rFonts w:cstheme="minorHAnsi"/>
          <w:b/>
          <w:bCs/>
          <w:sz w:val="24"/>
          <w:szCs w:val="24"/>
        </w:rPr>
        <w:t>The furcation</w:t>
      </w:r>
      <w:r w:rsidRPr="000D7B02">
        <w:rPr>
          <w:rFonts w:cstheme="minorHAnsi"/>
          <w:sz w:val="24"/>
          <w:szCs w:val="24"/>
        </w:rPr>
        <w:t xml:space="preserve"> is the area located</w:t>
      </w:r>
      <w:r>
        <w:rPr>
          <w:rFonts w:cstheme="minorHAnsi"/>
          <w:sz w:val="24"/>
          <w:szCs w:val="24"/>
        </w:rPr>
        <w:t xml:space="preserve"> </w:t>
      </w:r>
      <w:r w:rsidRPr="000D7B02">
        <w:rPr>
          <w:rFonts w:cstheme="minorHAnsi"/>
          <w:sz w:val="24"/>
          <w:szCs w:val="24"/>
        </w:rPr>
        <w:t>between individual root cones.</w:t>
      </w:r>
    </w:p>
    <w:p w:rsidR="006D3F0F" w:rsidRDefault="006D3F0F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6D3F0F">
        <w:rPr>
          <w:rFonts w:cstheme="minorHAnsi"/>
          <w:b/>
          <w:bCs/>
          <w:sz w:val="24"/>
          <w:szCs w:val="24"/>
        </w:rPr>
        <w:t>The furcation entrance</w:t>
      </w:r>
      <w:r w:rsidRPr="006D3F0F">
        <w:rPr>
          <w:rFonts w:cstheme="minorHAnsi"/>
          <w:sz w:val="24"/>
          <w:szCs w:val="24"/>
        </w:rPr>
        <w:t xml:space="preserve"> is the transitional area</w:t>
      </w:r>
      <w:r>
        <w:rPr>
          <w:rFonts w:cstheme="minorHAnsi"/>
          <w:sz w:val="24"/>
          <w:szCs w:val="24"/>
        </w:rPr>
        <w:t xml:space="preserve"> </w:t>
      </w:r>
      <w:r w:rsidRPr="006D3F0F">
        <w:rPr>
          <w:rFonts w:cstheme="minorHAnsi"/>
          <w:sz w:val="24"/>
          <w:szCs w:val="24"/>
        </w:rPr>
        <w:t>between the undivided and the divided part of the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root </w:t>
      </w:r>
      <w:r w:rsidRPr="006D3F0F">
        <w:rPr>
          <w:rFonts w:cstheme="minorHAnsi"/>
          <w:sz w:val="24"/>
          <w:szCs w:val="24"/>
        </w:rPr>
        <w:t>.</w:t>
      </w:r>
      <w:proofErr w:type="gramEnd"/>
      <w:r w:rsidRPr="006D3F0F">
        <w:rPr>
          <w:rFonts w:cstheme="minorHAnsi"/>
          <w:sz w:val="24"/>
          <w:szCs w:val="24"/>
        </w:rPr>
        <w:t xml:space="preserve"> </w:t>
      </w:r>
    </w:p>
    <w:p w:rsidR="006D3F0F" w:rsidRPr="006D3F0F" w:rsidRDefault="006D3F0F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6E3457">
        <w:rPr>
          <w:rFonts w:cstheme="minorHAnsi"/>
          <w:b/>
          <w:bCs/>
          <w:sz w:val="24"/>
          <w:szCs w:val="24"/>
        </w:rPr>
        <w:t>The furcation fornix</w:t>
      </w:r>
      <w:r w:rsidRPr="006D3F0F">
        <w:rPr>
          <w:rFonts w:cstheme="minorHAnsi"/>
          <w:sz w:val="24"/>
          <w:szCs w:val="24"/>
        </w:rPr>
        <w:t xml:space="preserve"> is the roof of</w:t>
      </w:r>
      <w:r>
        <w:rPr>
          <w:rFonts w:cstheme="minorHAnsi"/>
          <w:sz w:val="24"/>
          <w:szCs w:val="24"/>
        </w:rPr>
        <w:t xml:space="preserve"> </w:t>
      </w:r>
      <w:r w:rsidRPr="006D3F0F">
        <w:rPr>
          <w:rFonts w:cstheme="minorHAnsi"/>
          <w:sz w:val="24"/>
          <w:szCs w:val="24"/>
        </w:rPr>
        <w:t xml:space="preserve">the </w:t>
      </w:r>
      <w:r w:rsidR="006E3457" w:rsidRPr="006D3F0F">
        <w:rPr>
          <w:rFonts w:cstheme="minorHAnsi"/>
          <w:sz w:val="24"/>
          <w:szCs w:val="24"/>
        </w:rPr>
        <w:t>furcation.</w:t>
      </w:r>
    </w:p>
    <w:p w:rsidR="006E3457" w:rsidRDefault="006D3F0F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6E3457">
        <w:rPr>
          <w:rFonts w:cstheme="minorHAnsi"/>
          <w:b/>
          <w:bCs/>
          <w:sz w:val="24"/>
          <w:szCs w:val="24"/>
        </w:rPr>
        <w:t>The degree of separation</w:t>
      </w:r>
      <w:r w:rsidRPr="006D3F0F">
        <w:rPr>
          <w:rFonts w:cstheme="minorHAnsi"/>
          <w:sz w:val="24"/>
          <w:szCs w:val="24"/>
        </w:rPr>
        <w:t xml:space="preserve"> is the angle of separation</w:t>
      </w:r>
      <w:r w:rsidR="006E3457">
        <w:rPr>
          <w:rFonts w:cstheme="minorHAnsi"/>
          <w:sz w:val="24"/>
          <w:szCs w:val="24"/>
        </w:rPr>
        <w:t xml:space="preserve"> between two roots (cones). </w:t>
      </w:r>
    </w:p>
    <w:p w:rsidR="006D3F0F" w:rsidRDefault="006D3F0F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6E3457">
        <w:rPr>
          <w:rFonts w:cstheme="minorHAnsi"/>
          <w:b/>
          <w:bCs/>
          <w:sz w:val="24"/>
          <w:szCs w:val="24"/>
        </w:rPr>
        <w:t>Divergence</w:t>
      </w:r>
      <w:r w:rsidRPr="006D3F0F">
        <w:rPr>
          <w:rFonts w:cstheme="minorHAnsi"/>
          <w:sz w:val="24"/>
          <w:szCs w:val="24"/>
        </w:rPr>
        <w:t xml:space="preserve"> is</w:t>
      </w:r>
      <w:r w:rsidR="006E3457">
        <w:rPr>
          <w:rFonts w:cstheme="minorHAnsi"/>
          <w:sz w:val="24"/>
          <w:szCs w:val="24"/>
        </w:rPr>
        <w:t xml:space="preserve"> </w:t>
      </w:r>
      <w:r w:rsidRPr="006D3F0F">
        <w:rPr>
          <w:rFonts w:cstheme="minorHAnsi"/>
          <w:sz w:val="24"/>
          <w:szCs w:val="24"/>
        </w:rPr>
        <w:t>the distance between two roots; this distance normally</w:t>
      </w:r>
      <w:r w:rsidR="006E3457">
        <w:rPr>
          <w:rFonts w:cstheme="minorHAnsi"/>
          <w:sz w:val="24"/>
          <w:szCs w:val="24"/>
        </w:rPr>
        <w:t xml:space="preserve"> </w:t>
      </w:r>
      <w:r w:rsidRPr="006D3F0F">
        <w:rPr>
          <w:rFonts w:cstheme="minorHAnsi"/>
          <w:sz w:val="24"/>
          <w:szCs w:val="24"/>
        </w:rPr>
        <w:t>increases in the apical direction</w:t>
      </w:r>
      <w:r w:rsidR="006E3457">
        <w:rPr>
          <w:rFonts w:cstheme="minorHAnsi"/>
          <w:sz w:val="24"/>
          <w:szCs w:val="24"/>
        </w:rPr>
        <w:t>.</w:t>
      </w:r>
    </w:p>
    <w:p w:rsidR="006E3457" w:rsidRDefault="006E3457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506165" w:rsidRDefault="00506165" w:rsidP="00852A20">
      <w:pPr>
        <w:ind w:right="119"/>
        <w:jc w:val="both"/>
        <w:rPr>
          <w:rFonts w:cstheme="minorHAnsi"/>
          <w:sz w:val="24"/>
          <w:szCs w:val="24"/>
        </w:rPr>
      </w:pPr>
    </w:p>
    <w:p w:rsidR="00852A20" w:rsidRDefault="00852A20" w:rsidP="00852A20">
      <w:pPr>
        <w:ind w:right="119"/>
        <w:jc w:val="both"/>
        <w:rPr>
          <w:rFonts w:cstheme="minorHAnsi"/>
          <w:sz w:val="24"/>
          <w:szCs w:val="24"/>
        </w:rPr>
      </w:pPr>
    </w:p>
    <w:p w:rsidR="00506165" w:rsidRPr="007320BD" w:rsidRDefault="00506165" w:rsidP="00852A20">
      <w:pPr>
        <w:pStyle w:val="ListParagraph"/>
        <w:numPr>
          <w:ilvl w:val="0"/>
          <w:numId w:val="9"/>
        </w:numPr>
        <w:ind w:left="-567" w:right="119" w:firstLine="284"/>
        <w:jc w:val="both"/>
        <w:rPr>
          <w:rFonts w:cstheme="minorHAnsi"/>
          <w:b/>
          <w:bCs/>
          <w:sz w:val="28"/>
          <w:szCs w:val="28"/>
        </w:rPr>
      </w:pPr>
      <w:r w:rsidRPr="007320BD">
        <w:rPr>
          <w:rFonts w:cstheme="minorHAnsi"/>
          <w:b/>
          <w:bCs/>
          <w:sz w:val="28"/>
          <w:szCs w:val="28"/>
        </w:rPr>
        <w:lastRenderedPageBreak/>
        <w:t>There are some morphological variations that must be considered in the diagnosis and treatment of furcation involved teeth ,These are:</w:t>
      </w:r>
    </w:p>
    <w:p w:rsidR="00506165" w:rsidRPr="00506165" w:rsidRDefault="00506165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proofErr w:type="gramStart"/>
      <w:r w:rsidRPr="00F00D47">
        <w:rPr>
          <w:rFonts w:cstheme="minorHAnsi"/>
          <w:b/>
          <w:bCs/>
          <w:sz w:val="24"/>
          <w:szCs w:val="24"/>
        </w:rPr>
        <w:t>1-</w:t>
      </w:r>
      <w:r w:rsidRPr="002217C7">
        <w:rPr>
          <w:rFonts w:cstheme="minorHAnsi"/>
          <w:b/>
          <w:bCs/>
          <w:sz w:val="24"/>
          <w:szCs w:val="24"/>
        </w:rPr>
        <w:t>Fusions</w:t>
      </w:r>
      <w:r w:rsidRPr="00506165">
        <w:rPr>
          <w:rFonts w:cstheme="minorHAnsi"/>
          <w:sz w:val="24"/>
          <w:szCs w:val="24"/>
        </w:rPr>
        <w:t xml:space="preserve"> between divergent roots</w:t>
      </w:r>
      <w:r w:rsidR="0094148D">
        <w:rPr>
          <w:rFonts w:cstheme="minorHAnsi"/>
          <w:sz w:val="24"/>
          <w:szCs w:val="24"/>
        </w:rPr>
        <w:t>.</w:t>
      </w:r>
      <w:proofErr w:type="gramEnd"/>
    </w:p>
    <w:p w:rsidR="00250268" w:rsidRPr="00250268" w:rsidRDefault="00506165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  <w:r w:rsidRPr="00506165">
        <w:rPr>
          <w:rFonts w:cstheme="minorHAnsi"/>
          <w:sz w:val="24"/>
          <w:szCs w:val="24"/>
        </w:rPr>
        <w:t xml:space="preserve">                       </w:t>
      </w:r>
      <w:r w:rsidR="00250268">
        <w:rPr>
          <w:rFonts w:cstheme="minorHAnsi"/>
          <w:sz w:val="24"/>
          <w:szCs w:val="24"/>
        </w:rPr>
        <w:t xml:space="preserve">         </w:t>
      </w:r>
      <w:r w:rsidRPr="00506165">
        <w:rPr>
          <w:rFonts w:cstheme="minorHAnsi"/>
          <w:sz w:val="24"/>
          <w:szCs w:val="24"/>
        </w:rPr>
        <w:t xml:space="preserve"> </w:t>
      </w:r>
      <w:r w:rsidR="00250268" w:rsidRPr="00250268">
        <w:rPr>
          <w:rFonts w:cstheme="minorHAnsi"/>
          <w:b/>
          <w:bCs/>
          <w:sz w:val="24"/>
          <w:szCs w:val="24"/>
        </w:rPr>
        <w:t>Widely</w:t>
      </w:r>
      <w:r w:rsidRPr="00250268">
        <w:rPr>
          <w:rFonts w:cstheme="minorHAnsi"/>
          <w:b/>
          <w:bCs/>
          <w:sz w:val="24"/>
          <w:szCs w:val="24"/>
        </w:rPr>
        <w:t xml:space="preserve"> </w:t>
      </w:r>
      <w:r w:rsidR="00250268" w:rsidRPr="00250268">
        <w:rPr>
          <w:rFonts w:cstheme="minorHAnsi"/>
          <w:b/>
          <w:bCs/>
          <w:sz w:val="24"/>
          <w:szCs w:val="24"/>
        </w:rPr>
        <w:t>separated</w:t>
      </w:r>
      <w:r w:rsidRPr="00250268">
        <w:rPr>
          <w:rFonts w:cstheme="minorHAnsi"/>
          <w:b/>
          <w:bCs/>
          <w:sz w:val="24"/>
          <w:szCs w:val="24"/>
        </w:rPr>
        <w:t xml:space="preserve"> roots       C</w:t>
      </w:r>
      <w:r w:rsidR="002217C7">
        <w:rPr>
          <w:rFonts w:cstheme="minorHAnsi"/>
          <w:b/>
          <w:bCs/>
          <w:sz w:val="24"/>
          <w:szCs w:val="24"/>
        </w:rPr>
        <w:t xml:space="preserve">lose to one another      </w:t>
      </w:r>
      <w:r w:rsidRPr="00250268">
        <w:rPr>
          <w:rFonts w:cstheme="minorHAnsi"/>
          <w:b/>
          <w:bCs/>
          <w:sz w:val="24"/>
          <w:szCs w:val="24"/>
        </w:rPr>
        <w:t xml:space="preserve">  Fused roots</w:t>
      </w:r>
    </w:p>
    <w:p w:rsidR="00506165" w:rsidRPr="00506165" w:rsidRDefault="00250268" w:rsidP="00852A20">
      <w:pPr>
        <w:ind w:left="-567" w:right="119" w:firstLine="284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49B43A8" wp14:editId="537F3A5A">
            <wp:extent cx="3530516" cy="198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16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D47" w:rsidRPr="00F00D47" w:rsidRDefault="00F00D47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F00D47">
        <w:rPr>
          <w:rFonts w:cstheme="minorHAnsi"/>
          <w:b/>
          <w:bCs/>
          <w:sz w:val="24"/>
          <w:szCs w:val="24"/>
        </w:rPr>
        <w:t>2-</w:t>
      </w:r>
      <w:r w:rsidRPr="00F00D47">
        <w:rPr>
          <w:rFonts w:cstheme="minorHAnsi"/>
          <w:sz w:val="24"/>
          <w:szCs w:val="24"/>
        </w:rPr>
        <w:t xml:space="preserve"> </w:t>
      </w:r>
      <w:r w:rsidRPr="00F00D47">
        <w:rPr>
          <w:rFonts w:cstheme="minorHAnsi"/>
          <w:b/>
          <w:bCs/>
          <w:sz w:val="24"/>
          <w:szCs w:val="24"/>
        </w:rPr>
        <w:t>Cervical</w:t>
      </w:r>
      <w:r w:rsidRPr="00F00D47">
        <w:rPr>
          <w:rFonts w:cstheme="minorHAnsi"/>
          <w:b/>
          <w:bCs/>
          <w:sz w:val="24"/>
          <w:szCs w:val="24"/>
        </w:rPr>
        <w:t xml:space="preserve"> enamel projection or enamel pearl</w:t>
      </w:r>
      <w:r w:rsidRPr="00F00D47">
        <w:rPr>
          <w:rFonts w:cstheme="minorHAnsi"/>
          <w:sz w:val="24"/>
          <w:szCs w:val="24"/>
        </w:rPr>
        <w:t xml:space="preserve"> in the furcation </w:t>
      </w:r>
      <w:proofErr w:type="spellStart"/>
      <w:r>
        <w:rPr>
          <w:rFonts w:cstheme="minorHAnsi"/>
          <w:sz w:val="24"/>
          <w:szCs w:val="24"/>
        </w:rPr>
        <w:t>areas</w:t>
      </w:r>
      <w:proofErr w:type="gramStart"/>
      <w:r>
        <w:rPr>
          <w:rFonts w:cstheme="minorHAnsi"/>
          <w:sz w:val="24"/>
          <w:szCs w:val="24"/>
        </w:rPr>
        <w:t>,</w:t>
      </w:r>
      <w:r w:rsidRPr="00F00D47">
        <w:rPr>
          <w:rFonts w:cstheme="minorHAnsi"/>
          <w:sz w:val="24"/>
          <w:szCs w:val="24"/>
        </w:rPr>
        <w:t>They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occur approxi</w:t>
      </w:r>
      <w:r w:rsidRPr="00F00D47">
        <w:rPr>
          <w:rFonts w:cstheme="minorHAnsi"/>
          <w:sz w:val="24"/>
          <w:szCs w:val="24"/>
        </w:rPr>
        <w:t>mately in 15 percent of molars. They favor plaque accumulation responsible for furcation invasion &amp; localized sev</w:t>
      </w:r>
      <w:r>
        <w:rPr>
          <w:rFonts w:cstheme="minorHAnsi"/>
          <w:sz w:val="24"/>
          <w:szCs w:val="24"/>
        </w:rPr>
        <w:t>ere bone loss around the tooth.</w:t>
      </w:r>
    </w:p>
    <w:p w:rsidR="00F00D47" w:rsidRPr="00436C9B" w:rsidRDefault="00F00D47" w:rsidP="00852A20">
      <w:pPr>
        <w:pStyle w:val="ListParagraph"/>
        <w:numPr>
          <w:ilvl w:val="0"/>
          <w:numId w:val="9"/>
        </w:numPr>
        <w:ind w:left="-567" w:right="119" w:firstLine="284"/>
        <w:jc w:val="both"/>
        <w:rPr>
          <w:rFonts w:cstheme="minorHAnsi"/>
          <w:sz w:val="24"/>
          <w:szCs w:val="24"/>
        </w:rPr>
      </w:pPr>
      <w:r w:rsidRPr="00436C9B">
        <w:rPr>
          <w:rFonts w:cstheme="minorHAnsi"/>
          <w:sz w:val="24"/>
          <w:szCs w:val="24"/>
        </w:rPr>
        <w:t xml:space="preserve">It was classified by </w:t>
      </w:r>
      <w:r w:rsidRPr="00436C9B">
        <w:rPr>
          <w:rFonts w:cstheme="minorHAnsi"/>
          <w:b/>
          <w:bCs/>
          <w:sz w:val="24"/>
          <w:szCs w:val="24"/>
        </w:rPr>
        <w:t>Masters and Hoskins in 1964</w:t>
      </w:r>
      <w:r w:rsidRPr="00436C9B">
        <w:rPr>
          <w:rFonts w:cstheme="minorHAnsi"/>
          <w:sz w:val="24"/>
          <w:szCs w:val="24"/>
        </w:rPr>
        <w:t xml:space="preserve"> as:</w:t>
      </w:r>
    </w:p>
    <w:p w:rsidR="00F00D47" w:rsidRPr="00F00D47" w:rsidRDefault="00F00D47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436C9B">
        <w:rPr>
          <w:rFonts w:cstheme="minorHAnsi"/>
          <w:b/>
          <w:bCs/>
          <w:sz w:val="24"/>
          <w:szCs w:val="24"/>
        </w:rPr>
        <w:t xml:space="preserve"> Grade I:</w:t>
      </w:r>
      <w:r w:rsidRPr="00F00D47">
        <w:rPr>
          <w:rFonts w:cstheme="minorHAnsi"/>
          <w:sz w:val="24"/>
          <w:szCs w:val="24"/>
        </w:rPr>
        <w:t xml:space="preserve"> The enamel projection extends from the </w:t>
      </w:r>
      <w:proofErr w:type="spellStart"/>
      <w:r w:rsidRPr="00F00D47">
        <w:rPr>
          <w:rFonts w:cstheme="minorHAnsi"/>
          <w:sz w:val="24"/>
          <w:szCs w:val="24"/>
        </w:rPr>
        <w:t>cementoenamel</w:t>
      </w:r>
      <w:proofErr w:type="spellEnd"/>
      <w:r w:rsidRPr="00F00D47">
        <w:rPr>
          <w:rFonts w:cstheme="minorHAnsi"/>
          <w:sz w:val="24"/>
          <w:szCs w:val="24"/>
        </w:rPr>
        <w:t xml:space="preserve"> junction of the tooth towards the furcation entrance.</w:t>
      </w:r>
    </w:p>
    <w:p w:rsidR="00F00D47" w:rsidRPr="00F00D47" w:rsidRDefault="00F00D47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436C9B">
        <w:rPr>
          <w:rFonts w:cstheme="minorHAnsi"/>
          <w:b/>
          <w:bCs/>
          <w:sz w:val="24"/>
          <w:szCs w:val="24"/>
        </w:rPr>
        <w:t>Grade II:</w:t>
      </w:r>
      <w:r w:rsidRPr="00F00D47">
        <w:rPr>
          <w:rFonts w:cstheme="minorHAnsi"/>
          <w:sz w:val="24"/>
          <w:szCs w:val="24"/>
        </w:rPr>
        <w:t xml:space="preserve"> The enamel projection approaches the entrance to the furcation but does not enter the furcation and hence has no horizontal component. </w:t>
      </w:r>
    </w:p>
    <w:p w:rsidR="00AA25FE" w:rsidRDefault="00F00D47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436C9B">
        <w:rPr>
          <w:rFonts w:cstheme="minorHAnsi"/>
          <w:b/>
          <w:bCs/>
          <w:sz w:val="24"/>
          <w:szCs w:val="24"/>
        </w:rPr>
        <w:t>Grade III:</w:t>
      </w:r>
      <w:r w:rsidRPr="00F00D47">
        <w:rPr>
          <w:rFonts w:cstheme="minorHAnsi"/>
          <w:sz w:val="24"/>
          <w:szCs w:val="24"/>
        </w:rPr>
        <w:t xml:space="preserve"> The enamel projection extends horizontally into the furcation.</w:t>
      </w:r>
    </w:p>
    <w:p w:rsidR="00AA25FE" w:rsidRPr="00AA25FE" w:rsidRDefault="00AA25FE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proofErr w:type="gramStart"/>
      <w:r w:rsidRPr="00AA25FE">
        <w:rPr>
          <w:rFonts w:cstheme="minorHAnsi"/>
          <w:b/>
          <w:bCs/>
          <w:sz w:val="24"/>
          <w:szCs w:val="24"/>
        </w:rPr>
        <w:t>3-</w:t>
      </w:r>
      <w:r>
        <w:rPr>
          <w:rFonts w:cstheme="minorHAnsi"/>
          <w:sz w:val="24"/>
          <w:szCs w:val="24"/>
        </w:rPr>
        <w:t>T</w:t>
      </w:r>
      <w:r w:rsidRPr="00AA25FE">
        <w:rPr>
          <w:rFonts w:cstheme="minorHAnsi"/>
          <w:sz w:val="24"/>
          <w:szCs w:val="24"/>
        </w:rPr>
        <w:t xml:space="preserve">he presence of </w:t>
      </w:r>
      <w:r w:rsidRPr="00AA25FE">
        <w:rPr>
          <w:rFonts w:cstheme="minorHAnsi"/>
          <w:b/>
          <w:bCs/>
          <w:sz w:val="24"/>
          <w:szCs w:val="24"/>
        </w:rPr>
        <w:t>accessory pulp canals</w:t>
      </w:r>
      <w:r w:rsidRPr="00AA25FE">
        <w:rPr>
          <w:rFonts w:cstheme="minorHAnsi"/>
          <w:sz w:val="24"/>
          <w:szCs w:val="24"/>
        </w:rPr>
        <w:t xml:space="preserve"> which comm</w:t>
      </w:r>
      <w:r>
        <w:rPr>
          <w:rFonts w:cstheme="minorHAnsi"/>
          <w:sz w:val="24"/>
          <w:szCs w:val="24"/>
        </w:rPr>
        <w:t>unicate with the furcation area.</w:t>
      </w:r>
      <w:proofErr w:type="gramEnd"/>
    </w:p>
    <w:p w:rsidR="00764B89" w:rsidRDefault="00AA25FE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AA25FE">
        <w:rPr>
          <w:rFonts w:cstheme="minorHAnsi"/>
          <w:sz w:val="24"/>
          <w:szCs w:val="24"/>
        </w:rPr>
        <w:t xml:space="preserve"> It is believed that once the pulp is infected through the accessory canal, </w:t>
      </w:r>
      <w:proofErr w:type="spellStart"/>
      <w:r w:rsidRPr="00AA25FE">
        <w:rPr>
          <w:rFonts w:cstheme="minorHAnsi"/>
          <w:sz w:val="24"/>
          <w:szCs w:val="24"/>
        </w:rPr>
        <w:t>endo-perio</w:t>
      </w:r>
      <w:proofErr w:type="spellEnd"/>
      <w:r w:rsidRPr="00AA25FE">
        <w:rPr>
          <w:rFonts w:cstheme="minorHAnsi"/>
          <w:sz w:val="24"/>
          <w:szCs w:val="24"/>
        </w:rPr>
        <w:t xml:space="preserve"> communication may result, which in turn can cause either destruction of inter radicular </w:t>
      </w:r>
      <w:proofErr w:type="spellStart"/>
      <w:r w:rsidRPr="00AA25FE">
        <w:rPr>
          <w:rFonts w:cstheme="minorHAnsi"/>
          <w:sz w:val="24"/>
          <w:szCs w:val="24"/>
        </w:rPr>
        <w:t>periodontium</w:t>
      </w:r>
      <w:proofErr w:type="spellEnd"/>
      <w:r w:rsidRPr="00AA25FE">
        <w:rPr>
          <w:rFonts w:cstheme="minorHAnsi"/>
          <w:sz w:val="24"/>
          <w:szCs w:val="24"/>
        </w:rPr>
        <w:t xml:space="preserve"> or interfere with the healing response of either periodontal or endodontic procedures</w:t>
      </w:r>
      <w:r>
        <w:rPr>
          <w:rFonts w:cstheme="minorHAnsi"/>
          <w:sz w:val="24"/>
          <w:szCs w:val="24"/>
        </w:rPr>
        <w:t>.</w:t>
      </w:r>
    </w:p>
    <w:p w:rsidR="00764B89" w:rsidRDefault="00764B89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852A20" w:rsidRDefault="00852A20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</w:p>
    <w:p w:rsidR="00852A20" w:rsidRDefault="00852A20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</w:p>
    <w:p w:rsidR="002217C7" w:rsidRDefault="002217C7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</w:p>
    <w:p w:rsidR="00764B89" w:rsidRDefault="002217C7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3B1C668" wp14:editId="761550F4">
            <wp:simplePos x="0" y="0"/>
            <wp:positionH relativeFrom="margin">
              <wp:posOffset>4565015</wp:posOffset>
            </wp:positionH>
            <wp:positionV relativeFrom="margin">
              <wp:posOffset>-62230</wp:posOffset>
            </wp:positionV>
            <wp:extent cx="1856105" cy="1691640"/>
            <wp:effectExtent l="133350" t="114300" r="144145" b="1562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91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764B89" w:rsidRPr="00764B89">
        <w:rPr>
          <w:rFonts w:cstheme="minorHAnsi"/>
          <w:b/>
          <w:bCs/>
          <w:sz w:val="24"/>
          <w:szCs w:val="24"/>
        </w:rPr>
        <w:t>4-</w:t>
      </w:r>
      <w:r w:rsidR="00764B89" w:rsidRPr="00764B89">
        <w:rPr>
          <w:rFonts w:cstheme="minorHAnsi"/>
          <w:sz w:val="24"/>
          <w:szCs w:val="24"/>
        </w:rPr>
        <w:t>The distance between CEJ &amp; furcation area</w:t>
      </w:r>
      <w:r w:rsidR="00764B89">
        <w:rPr>
          <w:rFonts w:cstheme="minorHAnsi"/>
          <w:b/>
          <w:bCs/>
          <w:sz w:val="24"/>
          <w:szCs w:val="24"/>
        </w:rPr>
        <w:t xml:space="preserve"> (trunk length).</w:t>
      </w:r>
      <w:proofErr w:type="gramEnd"/>
    </w:p>
    <w:p w:rsidR="00764B89" w:rsidRPr="00764B89" w:rsidRDefault="00764B89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</w:p>
    <w:p w:rsidR="00764B89" w:rsidRDefault="00764B89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7320BD" w:rsidRDefault="007320BD" w:rsidP="00852A20">
      <w:pPr>
        <w:ind w:left="-567" w:right="119"/>
        <w:jc w:val="both"/>
        <w:rPr>
          <w:rFonts w:cstheme="minorHAnsi"/>
          <w:sz w:val="24"/>
          <w:szCs w:val="24"/>
        </w:rPr>
      </w:pPr>
    </w:p>
    <w:p w:rsidR="007320BD" w:rsidRDefault="007320BD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9F058B" w:rsidRDefault="009F058B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BD2594" w:rsidRDefault="00BD2594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7320BD" w:rsidRDefault="007320BD" w:rsidP="00852A20">
      <w:pPr>
        <w:pStyle w:val="ListParagraph"/>
        <w:numPr>
          <w:ilvl w:val="0"/>
          <w:numId w:val="9"/>
        </w:numPr>
        <w:ind w:left="-567" w:right="119" w:firstLine="284"/>
        <w:jc w:val="both"/>
        <w:rPr>
          <w:rFonts w:cstheme="minorHAnsi"/>
          <w:b/>
          <w:bCs/>
          <w:sz w:val="28"/>
          <w:szCs w:val="28"/>
        </w:rPr>
      </w:pPr>
      <w:r w:rsidRPr="007320BD">
        <w:rPr>
          <w:rFonts w:cstheme="minorHAnsi"/>
          <w:b/>
          <w:bCs/>
          <w:sz w:val="28"/>
          <w:szCs w:val="28"/>
        </w:rPr>
        <w:t xml:space="preserve">Classification </w:t>
      </w:r>
      <w:r w:rsidR="00747395" w:rsidRPr="007320BD">
        <w:rPr>
          <w:rFonts w:cstheme="minorHAnsi"/>
          <w:b/>
          <w:bCs/>
          <w:sz w:val="28"/>
          <w:szCs w:val="28"/>
        </w:rPr>
        <w:t>Of Furcation Involvement</w:t>
      </w:r>
    </w:p>
    <w:p w:rsidR="00B776E5" w:rsidRDefault="00B776E5" w:rsidP="00852A20">
      <w:pPr>
        <w:pStyle w:val="ListParagraph"/>
        <w:ind w:left="-567" w:right="119"/>
        <w:jc w:val="both"/>
        <w:rPr>
          <w:rFonts w:cstheme="minorHAnsi"/>
          <w:b/>
          <w:bCs/>
          <w:sz w:val="28"/>
          <w:szCs w:val="28"/>
        </w:rPr>
      </w:pPr>
    </w:p>
    <w:p w:rsidR="00747395" w:rsidRDefault="00747395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47395">
        <w:rPr>
          <w:rFonts w:cstheme="minorHAnsi"/>
          <w:sz w:val="24"/>
          <w:szCs w:val="24"/>
        </w:rPr>
        <w:t>The classification description of the involved</w:t>
      </w:r>
      <w:r>
        <w:rPr>
          <w:rFonts w:cstheme="minorHAnsi"/>
          <w:sz w:val="24"/>
          <w:szCs w:val="24"/>
        </w:rPr>
        <w:t xml:space="preserve"> </w:t>
      </w:r>
      <w:r w:rsidRPr="00747395">
        <w:rPr>
          <w:rFonts w:cstheme="minorHAnsi"/>
          <w:sz w:val="24"/>
          <w:szCs w:val="24"/>
        </w:rPr>
        <w:t xml:space="preserve">furcation is based on the amount of </w:t>
      </w:r>
      <w:r>
        <w:rPr>
          <w:rFonts w:cstheme="minorHAnsi"/>
          <w:sz w:val="24"/>
          <w:szCs w:val="24"/>
        </w:rPr>
        <w:t xml:space="preserve">periodontal </w:t>
      </w:r>
      <w:r w:rsidRPr="00747395">
        <w:rPr>
          <w:rFonts w:cstheme="minorHAnsi"/>
          <w:sz w:val="24"/>
          <w:szCs w:val="24"/>
        </w:rPr>
        <w:t>tissue</w:t>
      </w:r>
      <w:r w:rsid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destruction that has occurred in the inter‐radicular</w:t>
      </w:r>
      <w:r w:rsidRP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area, that is the degree of “horizontal</w:t>
      </w:r>
      <w:r w:rsidRPr="00963F73">
        <w:rPr>
          <w:rFonts w:cstheme="minorHAnsi"/>
          <w:sz w:val="24"/>
          <w:szCs w:val="24"/>
        </w:rPr>
        <w:t xml:space="preserve"> </w:t>
      </w:r>
      <w:r w:rsidR="00B776E5" w:rsidRPr="00963F73">
        <w:rPr>
          <w:rFonts w:cstheme="minorHAnsi"/>
          <w:sz w:val="24"/>
          <w:szCs w:val="24"/>
        </w:rPr>
        <w:t>root exposure</w:t>
      </w:r>
      <w:r w:rsidRPr="00963F73">
        <w:rPr>
          <w:rFonts w:cstheme="minorHAnsi"/>
          <w:sz w:val="24"/>
          <w:szCs w:val="24"/>
        </w:rPr>
        <w:t>” or attachment loss that exists</w:t>
      </w:r>
      <w:r w:rsidRP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 xml:space="preserve">within the root complex. </w:t>
      </w:r>
      <w:proofErr w:type="spellStart"/>
      <w:r w:rsidRPr="00963F73">
        <w:rPr>
          <w:rFonts w:cstheme="minorHAnsi"/>
          <w:b/>
          <w:bCs/>
          <w:sz w:val="24"/>
          <w:szCs w:val="24"/>
        </w:rPr>
        <w:t>Hamp</w:t>
      </w:r>
      <w:proofErr w:type="spellEnd"/>
      <w:r w:rsidRPr="00963F73">
        <w:rPr>
          <w:rFonts w:cstheme="minorHAnsi"/>
          <w:b/>
          <w:bCs/>
          <w:sz w:val="24"/>
          <w:szCs w:val="24"/>
        </w:rPr>
        <w:t xml:space="preserve"> </w:t>
      </w:r>
      <w:r w:rsidRPr="00963F73">
        <w:rPr>
          <w:rFonts w:cstheme="minorHAnsi"/>
          <w:b/>
          <w:bCs/>
          <w:i/>
          <w:iCs/>
          <w:sz w:val="24"/>
          <w:szCs w:val="24"/>
        </w:rPr>
        <w:t>et al.</w:t>
      </w:r>
      <w:r w:rsidRPr="00963F73">
        <w:rPr>
          <w:rFonts w:cstheme="minorHAnsi"/>
          <w:b/>
          <w:bCs/>
          <w:sz w:val="24"/>
          <w:szCs w:val="24"/>
        </w:rPr>
        <w:t xml:space="preserve"> (1975)</w:t>
      </w:r>
      <w:r w:rsidRPr="00963F73">
        <w:rPr>
          <w:rFonts w:cstheme="minorHAnsi"/>
          <w:sz w:val="24"/>
          <w:szCs w:val="24"/>
        </w:rPr>
        <w:t xml:space="preserve"> has</w:t>
      </w:r>
      <w:r w:rsidRP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suggested the following</w:t>
      </w:r>
      <w:r w:rsidRP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classification of the</w:t>
      </w:r>
      <w:r w:rsidRP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involved furcation:</w:t>
      </w:r>
    </w:p>
    <w:p w:rsidR="00BD2594" w:rsidRPr="00963F73" w:rsidRDefault="00BD2594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747395" w:rsidRPr="00747395" w:rsidRDefault="00747395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47395">
        <w:rPr>
          <w:rFonts w:cstheme="minorHAnsi"/>
          <w:sz w:val="24"/>
          <w:szCs w:val="24"/>
        </w:rPr>
        <w:t xml:space="preserve">• </w:t>
      </w:r>
      <w:r w:rsidRPr="00747395">
        <w:rPr>
          <w:rFonts w:cstheme="minorHAnsi"/>
          <w:b/>
          <w:bCs/>
          <w:sz w:val="24"/>
          <w:szCs w:val="24"/>
        </w:rPr>
        <w:t>Class I:</w:t>
      </w:r>
      <w:r w:rsidRPr="00747395">
        <w:rPr>
          <w:rFonts w:cstheme="minorHAnsi"/>
          <w:sz w:val="24"/>
          <w:szCs w:val="24"/>
        </w:rPr>
        <w:t xml:space="preserve"> horizontal loss of periodontal support not</w:t>
      </w:r>
      <w:r>
        <w:rPr>
          <w:rFonts w:cstheme="minorHAnsi"/>
          <w:sz w:val="24"/>
          <w:szCs w:val="24"/>
        </w:rPr>
        <w:t xml:space="preserve"> </w:t>
      </w:r>
      <w:r w:rsidRPr="00747395">
        <w:rPr>
          <w:rFonts w:cstheme="minorHAnsi"/>
          <w:sz w:val="24"/>
          <w:szCs w:val="24"/>
        </w:rPr>
        <w:t>exceeding one‐third of the width of the tooth</w:t>
      </w:r>
      <w:r w:rsidR="00963F73">
        <w:rPr>
          <w:rFonts w:cstheme="minorHAnsi"/>
          <w:sz w:val="24"/>
          <w:szCs w:val="24"/>
        </w:rPr>
        <w:t>.</w:t>
      </w:r>
    </w:p>
    <w:p w:rsidR="00747395" w:rsidRPr="00963F73" w:rsidRDefault="00747395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47395">
        <w:rPr>
          <w:rFonts w:cstheme="minorHAnsi"/>
          <w:sz w:val="24"/>
          <w:szCs w:val="24"/>
        </w:rPr>
        <w:t xml:space="preserve">• </w:t>
      </w:r>
      <w:r w:rsidRPr="00963F73">
        <w:rPr>
          <w:rFonts w:cstheme="minorHAnsi"/>
          <w:b/>
          <w:bCs/>
          <w:sz w:val="24"/>
          <w:szCs w:val="24"/>
        </w:rPr>
        <w:t>Class II:</w:t>
      </w:r>
      <w:r w:rsidRPr="00747395">
        <w:rPr>
          <w:rFonts w:cstheme="minorHAnsi"/>
          <w:sz w:val="24"/>
          <w:szCs w:val="24"/>
        </w:rPr>
        <w:t xml:space="preserve"> horizontal loss of periodontal support</w:t>
      </w:r>
      <w:r w:rsid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exceeding one‐third of the width of the tooth, but</w:t>
      </w:r>
    </w:p>
    <w:p w:rsidR="00747395" w:rsidRPr="00963F73" w:rsidRDefault="00747395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proofErr w:type="gramStart"/>
      <w:r w:rsidRPr="00747395">
        <w:rPr>
          <w:rFonts w:cstheme="minorHAnsi"/>
          <w:sz w:val="24"/>
          <w:szCs w:val="24"/>
        </w:rPr>
        <w:t>not</w:t>
      </w:r>
      <w:proofErr w:type="gramEnd"/>
      <w:r w:rsidRPr="00747395">
        <w:rPr>
          <w:rFonts w:cstheme="minorHAnsi"/>
          <w:sz w:val="24"/>
          <w:szCs w:val="24"/>
        </w:rPr>
        <w:t xml:space="preserve"> encompassing the total width of the furcation</w:t>
      </w:r>
      <w:r w:rsid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 xml:space="preserve">area </w:t>
      </w:r>
      <w:r w:rsidR="00963F73">
        <w:rPr>
          <w:rFonts w:cstheme="minorHAnsi"/>
          <w:sz w:val="24"/>
          <w:szCs w:val="24"/>
        </w:rPr>
        <w:t>.</w:t>
      </w:r>
    </w:p>
    <w:p w:rsidR="00747395" w:rsidRDefault="00747395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47395">
        <w:rPr>
          <w:rFonts w:cstheme="minorHAnsi"/>
          <w:sz w:val="24"/>
          <w:szCs w:val="24"/>
        </w:rPr>
        <w:t xml:space="preserve">• </w:t>
      </w:r>
      <w:r w:rsidRPr="00963F73">
        <w:rPr>
          <w:rFonts w:cstheme="minorHAnsi"/>
          <w:b/>
          <w:bCs/>
          <w:sz w:val="24"/>
          <w:szCs w:val="24"/>
        </w:rPr>
        <w:t>Class III:</w:t>
      </w:r>
      <w:r w:rsidRPr="00747395">
        <w:rPr>
          <w:rFonts w:cstheme="minorHAnsi"/>
          <w:sz w:val="24"/>
          <w:szCs w:val="24"/>
        </w:rPr>
        <w:t xml:space="preserve"> horizontal “through‐and‐through” destruction</w:t>
      </w:r>
      <w:r w:rsidR="00963F73">
        <w:rPr>
          <w:rFonts w:cstheme="minorHAnsi"/>
          <w:sz w:val="24"/>
          <w:szCs w:val="24"/>
        </w:rPr>
        <w:t xml:space="preserve"> </w:t>
      </w:r>
      <w:r w:rsidRPr="00963F73">
        <w:rPr>
          <w:rFonts w:cstheme="minorHAnsi"/>
          <w:sz w:val="24"/>
          <w:szCs w:val="24"/>
        </w:rPr>
        <w:t>of the periodontal tissues in the furcation area</w:t>
      </w:r>
      <w:r w:rsidR="00963F73">
        <w:rPr>
          <w:rFonts w:cstheme="minorHAnsi"/>
          <w:sz w:val="24"/>
          <w:szCs w:val="24"/>
        </w:rPr>
        <w:t>.</w:t>
      </w:r>
    </w:p>
    <w:p w:rsidR="00EB383C" w:rsidRDefault="00EB383C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9F058B" w:rsidRDefault="009F058B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EB383C" w:rsidRPr="00EB383C" w:rsidRDefault="00EB383C" w:rsidP="00852A20">
      <w:pPr>
        <w:pStyle w:val="ListParagraph"/>
        <w:numPr>
          <w:ilvl w:val="0"/>
          <w:numId w:val="9"/>
        </w:numPr>
        <w:ind w:left="-567" w:right="119" w:firstLine="284"/>
        <w:jc w:val="both"/>
        <w:rPr>
          <w:rFonts w:cstheme="minorHAnsi"/>
          <w:b/>
          <w:bCs/>
          <w:sz w:val="28"/>
          <w:szCs w:val="28"/>
        </w:rPr>
      </w:pPr>
      <w:r w:rsidRPr="00EB383C">
        <w:rPr>
          <w:rFonts w:cstheme="minorHAnsi"/>
          <w:b/>
          <w:bCs/>
          <w:sz w:val="28"/>
          <w:szCs w:val="28"/>
        </w:rPr>
        <w:t>Diagnosis</w:t>
      </w:r>
    </w:p>
    <w:p w:rsidR="00EB383C" w:rsidRDefault="00EB383C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EB383C">
        <w:rPr>
          <w:rFonts w:cstheme="minorHAnsi"/>
          <w:sz w:val="24"/>
          <w:szCs w:val="24"/>
        </w:rPr>
        <w:t>The examination should comprise both clinical probing and radiographic analysis</w:t>
      </w:r>
      <w:r>
        <w:rPr>
          <w:rFonts w:cstheme="minorHAnsi"/>
          <w:sz w:val="24"/>
          <w:szCs w:val="24"/>
        </w:rPr>
        <w:t>.</w:t>
      </w:r>
    </w:p>
    <w:p w:rsidR="00753E3F" w:rsidRDefault="00753E3F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753E3F" w:rsidRPr="00753E3F" w:rsidRDefault="00753E3F" w:rsidP="00852A20">
      <w:pPr>
        <w:pStyle w:val="ListParagraph"/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1-</w:t>
      </w:r>
      <w:r w:rsidRPr="00753E3F">
        <w:rPr>
          <w:rFonts w:cstheme="minorHAnsi"/>
          <w:b/>
          <w:bCs/>
          <w:sz w:val="24"/>
          <w:szCs w:val="24"/>
        </w:rPr>
        <w:t>Probing</w:t>
      </w:r>
    </w:p>
    <w:p w:rsidR="00753E3F" w:rsidRPr="00753E3F" w:rsidRDefault="00753E3F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53E3F">
        <w:rPr>
          <w:rFonts w:cstheme="minorHAnsi"/>
          <w:sz w:val="24"/>
          <w:szCs w:val="24"/>
        </w:rPr>
        <w:t xml:space="preserve">The </w:t>
      </w:r>
      <w:proofErr w:type="spellStart"/>
      <w:r w:rsidRPr="00753E3F">
        <w:rPr>
          <w:rFonts w:cstheme="minorHAnsi"/>
          <w:sz w:val="24"/>
          <w:szCs w:val="24"/>
        </w:rPr>
        <w:t>buccal</w:t>
      </w:r>
      <w:proofErr w:type="spellEnd"/>
      <w:r w:rsidRPr="00753E3F">
        <w:rPr>
          <w:rFonts w:cstheme="minorHAnsi"/>
          <w:sz w:val="24"/>
          <w:szCs w:val="24"/>
        </w:rPr>
        <w:t xml:space="preserve"> furcation entrance of the maxillary molars</w:t>
      </w:r>
      <w:r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 xml:space="preserve">and the </w:t>
      </w:r>
      <w:proofErr w:type="spellStart"/>
      <w:r w:rsidRPr="00753E3F">
        <w:rPr>
          <w:rFonts w:cstheme="minorHAnsi"/>
          <w:sz w:val="24"/>
          <w:szCs w:val="24"/>
        </w:rPr>
        <w:t>buccal</w:t>
      </w:r>
      <w:proofErr w:type="spellEnd"/>
      <w:r w:rsidRPr="00753E3F">
        <w:rPr>
          <w:rFonts w:cstheme="minorHAnsi"/>
          <w:sz w:val="24"/>
          <w:szCs w:val="24"/>
        </w:rPr>
        <w:t xml:space="preserve"> and lingual furcation entrances of the</w:t>
      </w:r>
      <w:r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>mandibular molars are normally accessible for examination</w:t>
      </w:r>
      <w:r w:rsidR="00D91D03"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>using a curved graduated periodontal probe, an explorer or a small curette. The examination</w:t>
      </w:r>
      <w:r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 xml:space="preserve">of </w:t>
      </w:r>
      <w:proofErr w:type="spellStart"/>
      <w:r w:rsidRPr="00753E3F">
        <w:rPr>
          <w:rFonts w:cstheme="minorHAnsi"/>
          <w:sz w:val="24"/>
          <w:szCs w:val="24"/>
        </w:rPr>
        <w:t>approximal</w:t>
      </w:r>
      <w:proofErr w:type="spellEnd"/>
      <w:r w:rsidRPr="00753E3F">
        <w:rPr>
          <w:rFonts w:cstheme="minorHAnsi"/>
          <w:sz w:val="24"/>
          <w:szCs w:val="24"/>
        </w:rPr>
        <w:t xml:space="preserve"> </w:t>
      </w:r>
      <w:proofErr w:type="spellStart"/>
      <w:r w:rsidRPr="00753E3F">
        <w:rPr>
          <w:rFonts w:cstheme="minorHAnsi"/>
          <w:sz w:val="24"/>
          <w:szCs w:val="24"/>
        </w:rPr>
        <w:t>furcations</w:t>
      </w:r>
      <w:proofErr w:type="spellEnd"/>
      <w:r w:rsidRPr="00753E3F">
        <w:rPr>
          <w:rFonts w:cstheme="minorHAnsi"/>
          <w:sz w:val="24"/>
          <w:szCs w:val="24"/>
        </w:rPr>
        <w:t xml:space="preserve"> is more difficult, in</w:t>
      </w:r>
      <w:r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>particular when neighboring teeth are present. Large</w:t>
      </w:r>
      <w:r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>contact areas between the teeth further impair access</w:t>
      </w:r>
      <w:r>
        <w:rPr>
          <w:rFonts w:cstheme="minorHAnsi"/>
          <w:sz w:val="24"/>
          <w:szCs w:val="24"/>
        </w:rPr>
        <w:t xml:space="preserve"> </w:t>
      </w:r>
      <w:r w:rsidRPr="00753E3F">
        <w:rPr>
          <w:rFonts w:cstheme="minorHAnsi"/>
          <w:sz w:val="24"/>
          <w:szCs w:val="24"/>
        </w:rPr>
        <w:t xml:space="preserve">to </w:t>
      </w:r>
      <w:proofErr w:type="spellStart"/>
      <w:r w:rsidRPr="00753E3F">
        <w:rPr>
          <w:rFonts w:cstheme="minorHAnsi"/>
          <w:sz w:val="24"/>
          <w:szCs w:val="24"/>
        </w:rPr>
        <w:t>approximal</w:t>
      </w:r>
      <w:proofErr w:type="spellEnd"/>
      <w:r w:rsidRPr="00753E3F">
        <w:rPr>
          <w:rFonts w:cstheme="minorHAnsi"/>
          <w:sz w:val="24"/>
          <w:szCs w:val="24"/>
        </w:rPr>
        <w:t xml:space="preserve"> furcation entrances.</w:t>
      </w:r>
    </w:p>
    <w:p w:rsidR="00753E3F" w:rsidRPr="00BE5250" w:rsidRDefault="00753E3F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53E3F">
        <w:rPr>
          <w:rFonts w:cstheme="minorHAnsi"/>
          <w:sz w:val="24"/>
          <w:szCs w:val="24"/>
        </w:rPr>
        <w:t>In maxillary molars, the mesial furcation entrance is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 xml:space="preserve">located much closer to the palatal than to the </w:t>
      </w:r>
      <w:proofErr w:type="spellStart"/>
      <w:r w:rsidRPr="00BE5250">
        <w:rPr>
          <w:rFonts w:cstheme="minorHAnsi"/>
          <w:sz w:val="24"/>
          <w:szCs w:val="24"/>
        </w:rPr>
        <w:t>buccal</w:t>
      </w:r>
      <w:proofErr w:type="spellEnd"/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>tooth surface. Thus, the mesial furcation should be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 xml:space="preserve">probed from the palatal aspect of the </w:t>
      </w:r>
      <w:r w:rsidR="00BE5250" w:rsidRPr="00BE5250">
        <w:rPr>
          <w:rFonts w:cstheme="minorHAnsi"/>
          <w:sz w:val="24"/>
          <w:szCs w:val="24"/>
        </w:rPr>
        <w:t>tooth.</w:t>
      </w:r>
    </w:p>
    <w:p w:rsidR="00753E3F" w:rsidRPr="00BE5250" w:rsidRDefault="00753E3F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53E3F">
        <w:rPr>
          <w:rFonts w:cstheme="minorHAnsi"/>
          <w:sz w:val="24"/>
          <w:szCs w:val="24"/>
        </w:rPr>
        <w:t>The distal furcation entrance of a maxillary molar is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 xml:space="preserve">generally located midway between the </w:t>
      </w:r>
      <w:proofErr w:type="spellStart"/>
      <w:r w:rsidRPr="00BE5250">
        <w:rPr>
          <w:rFonts w:cstheme="minorHAnsi"/>
          <w:sz w:val="24"/>
          <w:szCs w:val="24"/>
        </w:rPr>
        <w:t>buccal</w:t>
      </w:r>
      <w:proofErr w:type="spellEnd"/>
      <w:r w:rsidRPr="00BE5250">
        <w:rPr>
          <w:rFonts w:cstheme="minorHAnsi"/>
          <w:sz w:val="24"/>
          <w:szCs w:val="24"/>
        </w:rPr>
        <w:t xml:space="preserve"> and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 xml:space="preserve">palatal surfaces and, as a </w:t>
      </w:r>
      <w:r w:rsidR="002217C7" w:rsidRPr="00BE5250">
        <w:rPr>
          <w:rFonts w:cstheme="minorHAnsi"/>
          <w:sz w:val="24"/>
          <w:szCs w:val="24"/>
        </w:rPr>
        <w:t>consequence;</w:t>
      </w:r>
      <w:r w:rsidRPr="00BE5250">
        <w:rPr>
          <w:rFonts w:cstheme="minorHAnsi"/>
          <w:sz w:val="24"/>
          <w:szCs w:val="24"/>
        </w:rPr>
        <w:t xml:space="preserve"> this furcation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 xml:space="preserve">could be probed from either the </w:t>
      </w:r>
      <w:proofErr w:type="spellStart"/>
      <w:r w:rsidRPr="00BE5250">
        <w:rPr>
          <w:rFonts w:cstheme="minorHAnsi"/>
          <w:sz w:val="24"/>
          <w:szCs w:val="24"/>
        </w:rPr>
        <w:t>buccal</w:t>
      </w:r>
      <w:proofErr w:type="spellEnd"/>
      <w:r w:rsidRPr="00BE5250">
        <w:rPr>
          <w:rFonts w:cstheme="minorHAnsi"/>
          <w:sz w:val="24"/>
          <w:szCs w:val="24"/>
        </w:rPr>
        <w:t xml:space="preserve"> or the palatal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>aspect of the tooth.</w:t>
      </w:r>
    </w:p>
    <w:p w:rsidR="00753E3F" w:rsidRDefault="00753E3F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753E3F">
        <w:rPr>
          <w:rFonts w:cstheme="minorHAnsi"/>
          <w:sz w:val="24"/>
          <w:szCs w:val="24"/>
        </w:rPr>
        <w:lastRenderedPageBreak/>
        <w:t>In maxillary premolars, the root anatomy often varies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>considerably. The roots may also harbor irregularities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>such as longitudinal furrows, invaginations or true</w:t>
      </w:r>
      <w:r w:rsidR="00BE5250">
        <w:rPr>
          <w:rFonts w:cstheme="minorHAnsi"/>
          <w:sz w:val="24"/>
          <w:szCs w:val="24"/>
        </w:rPr>
        <w:t xml:space="preserve"> </w:t>
      </w:r>
      <w:proofErr w:type="spellStart"/>
      <w:r w:rsidRPr="00BE5250">
        <w:rPr>
          <w:rFonts w:cstheme="minorHAnsi"/>
          <w:sz w:val="24"/>
          <w:szCs w:val="24"/>
        </w:rPr>
        <w:t>furcations</w:t>
      </w:r>
      <w:proofErr w:type="spellEnd"/>
      <w:r w:rsidRPr="00BE5250">
        <w:rPr>
          <w:rFonts w:cstheme="minorHAnsi"/>
          <w:sz w:val="24"/>
          <w:szCs w:val="24"/>
        </w:rPr>
        <w:t>, which may open at varying distances from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>the CEJ. Due to the above variations and limited access,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>the clinical assessment of a furcation involvement in</w:t>
      </w:r>
      <w:r w:rsidR="00BE5250">
        <w:rPr>
          <w:rFonts w:cstheme="minorHAnsi"/>
          <w:sz w:val="24"/>
          <w:szCs w:val="24"/>
        </w:rPr>
        <w:t xml:space="preserve"> </w:t>
      </w:r>
      <w:r w:rsidRPr="00BE5250">
        <w:rPr>
          <w:rFonts w:cstheme="minorHAnsi"/>
          <w:sz w:val="24"/>
          <w:szCs w:val="24"/>
        </w:rPr>
        <w:t xml:space="preserve">maxillary premolars is often difficult. </w:t>
      </w:r>
    </w:p>
    <w:p w:rsidR="0094148D" w:rsidRDefault="0094148D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D91D03" w:rsidRDefault="00D91D03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D91D03" w:rsidRPr="00D91D03" w:rsidRDefault="00D91D03" w:rsidP="00852A20">
      <w:pPr>
        <w:pStyle w:val="ListParagraph"/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2-</w:t>
      </w:r>
      <w:r w:rsidRPr="00D91D03">
        <w:rPr>
          <w:rFonts w:cstheme="minorHAnsi"/>
          <w:b/>
          <w:bCs/>
          <w:sz w:val="24"/>
          <w:szCs w:val="24"/>
        </w:rPr>
        <w:t>Radiographs</w:t>
      </w:r>
    </w:p>
    <w:p w:rsidR="00D91D03" w:rsidRPr="00D91D03" w:rsidRDefault="00D91D03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D91D03">
        <w:rPr>
          <w:rFonts w:cstheme="minorHAnsi"/>
          <w:sz w:val="24"/>
          <w:szCs w:val="24"/>
        </w:rPr>
        <w:t>Radiographs must always be obtained to confirm findings</w:t>
      </w:r>
      <w:r>
        <w:rPr>
          <w:rFonts w:cstheme="minorHAnsi"/>
          <w:sz w:val="24"/>
          <w:szCs w:val="24"/>
        </w:rPr>
        <w:t xml:space="preserve"> </w:t>
      </w:r>
      <w:r w:rsidRPr="00D91D03">
        <w:rPr>
          <w:rFonts w:cstheme="minorHAnsi"/>
          <w:sz w:val="24"/>
          <w:szCs w:val="24"/>
        </w:rPr>
        <w:t>made during probing of a furcation‐involved</w:t>
      </w:r>
      <w:r>
        <w:rPr>
          <w:rFonts w:cstheme="minorHAnsi"/>
          <w:sz w:val="24"/>
          <w:szCs w:val="24"/>
        </w:rPr>
        <w:t xml:space="preserve"> </w:t>
      </w:r>
      <w:r w:rsidRPr="00D91D03">
        <w:rPr>
          <w:rFonts w:cstheme="minorHAnsi"/>
          <w:sz w:val="24"/>
          <w:szCs w:val="24"/>
        </w:rPr>
        <w:t>tooth. The radiographic examination should include</w:t>
      </w:r>
      <w:r>
        <w:rPr>
          <w:rFonts w:cstheme="minorHAnsi"/>
          <w:sz w:val="24"/>
          <w:szCs w:val="24"/>
        </w:rPr>
        <w:t xml:space="preserve"> </w:t>
      </w:r>
      <w:r w:rsidRPr="00D91D03">
        <w:rPr>
          <w:rFonts w:cstheme="minorHAnsi"/>
          <w:sz w:val="24"/>
          <w:szCs w:val="24"/>
        </w:rPr>
        <w:t>both paralleling “</w:t>
      </w:r>
      <w:proofErr w:type="spellStart"/>
      <w:r w:rsidRPr="00D91D03">
        <w:rPr>
          <w:rFonts w:cstheme="minorHAnsi"/>
          <w:sz w:val="24"/>
          <w:szCs w:val="24"/>
        </w:rPr>
        <w:t>periapical</w:t>
      </w:r>
      <w:proofErr w:type="spellEnd"/>
      <w:r w:rsidRPr="00D91D03">
        <w:rPr>
          <w:rFonts w:cstheme="minorHAnsi"/>
          <w:sz w:val="24"/>
          <w:szCs w:val="24"/>
        </w:rPr>
        <w:t>” and vertical “bitewing”</w:t>
      </w:r>
      <w:r>
        <w:rPr>
          <w:rFonts w:cstheme="minorHAnsi"/>
          <w:sz w:val="24"/>
          <w:szCs w:val="24"/>
        </w:rPr>
        <w:t xml:space="preserve"> </w:t>
      </w:r>
      <w:r w:rsidRPr="00D91D03">
        <w:rPr>
          <w:rFonts w:cstheme="minorHAnsi"/>
          <w:sz w:val="24"/>
          <w:szCs w:val="24"/>
        </w:rPr>
        <w:t>radiographs. In the radiographs, the location of the</w:t>
      </w:r>
      <w:r>
        <w:rPr>
          <w:rFonts w:cstheme="minorHAnsi"/>
          <w:sz w:val="24"/>
          <w:szCs w:val="24"/>
        </w:rPr>
        <w:t xml:space="preserve"> </w:t>
      </w:r>
      <w:r w:rsidRPr="00D91D03">
        <w:rPr>
          <w:rFonts w:cstheme="minorHAnsi"/>
          <w:sz w:val="24"/>
          <w:szCs w:val="24"/>
        </w:rPr>
        <w:t>interdental bone as well as the bone level within the</w:t>
      </w:r>
      <w:r>
        <w:rPr>
          <w:rFonts w:cstheme="minorHAnsi"/>
          <w:sz w:val="24"/>
          <w:szCs w:val="24"/>
        </w:rPr>
        <w:t xml:space="preserve"> </w:t>
      </w:r>
      <w:r w:rsidRPr="00D91D03">
        <w:rPr>
          <w:rFonts w:cstheme="minorHAnsi"/>
          <w:sz w:val="24"/>
          <w:szCs w:val="24"/>
        </w:rPr>
        <w:t>root comp</w:t>
      </w:r>
      <w:r w:rsidR="00AC2B20">
        <w:rPr>
          <w:rFonts w:cstheme="minorHAnsi"/>
          <w:sz w:val="24"/>
          <w:szCs w:val="24"/>
        </w:rPr>
        <w:t>lex should be examined.</w:t>
      </w:r>
    </w:p>
    <w:p w:rsidR="00D91D03" w:rsidRDefault="00D91D03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D91D03">
        <w:rPr>
          <w:rFonts w:cstheme="minorHAnsi"/>
          <w:sz w:val="24"/>
          <w:szCs w:val="24"/>
        </w:rPr>
        <w:t>Situations may occur when findings from clinical probing</w:t>
      </w:r>
      <w:r w:rsidR="00AC2B20">
        <w:rPr>
          <w:rFonts w:cstheme="minorHAnsi"/>
          <w:sz w:val="24"/>
          <w:szCs w:val="24"/>
        </w:rPr>
        <w:t xml:space="preserve"> </w:t>
      </w:r>
      <w:r w:rsidRPr="00AC2B20">
        <w:rPr>
          <w:rFonts w:cstheme="minorHAnsi"/>
          <w:sz w:val="24"/>
          <w:szCs w:val="24"/>
        </w:rPr>
        <w:t>and from the radiographs are inconsistent. Thus,</w:t>
      </w:r>
      <w:r w:rsidR="00D044AB"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the localized but extensive attachment loss which may</w:t>
      </w:r>
      <w:r w:rsidR="00D044AB"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be detected within the root complex of a maxillary</w:t>
      </w:r>
      <w:r w:rsidR="00D044AB"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 xml:space="preserve">molar with the use of a </w:t>
      </w:r>
      <w:r w:rsidR="00D044AB" w:rsidRPr="00D044AB">
        <w:rPr>
          <w:rFonts w:cstheme="minorHAnsi"/>
          <w:sz w:val="24"/>
          <w:szCs w:val="24"/>
        </w:rPr>
        <w:t>probe</w:t>
      </w:r>
      <w:r w:rsidRPr="00D044AB">
        <w:rPr>
          <w:rFonts w:cstheme="minorHAnsi"/>
          <w:sz w:val="24"/>
          <w:szCs w:val="24"/>
        </w:rPr>
        <w:t xml:space="preserve"> will not always appear</w:t>
      </w:r>
      <w:r w:rsidR="00D044AB"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in the radiograph. This may be due to the superimposition</w:t>
      </w:r>
      <w:r w:rsidR="00D044AB"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in the radiograph of the palatal root and remaining</w:t>
      </w:r>
      <w:r w:rsidR="00D044AB">
        <w:rPr>
          <w:rFonts w:cstheme="minorHAnsi"/>
          <w:sz w:val="24"/>
          <w:szCs w:val="24"/>
        </w:rPr>
        <w:t xml:space="preserve"> </w:t>
      </w:r>
      <w:r w:rsidR="00D044AB" w:rsidRPr="00D044AB">
        <w:rPr>
          <w:rFonts w:cstheme="minorHAnsi"/>
          <w:sz w:val="24"/>
          <w:szCs w:val="24"/>
        </w:rPr>
        <w:t>bone structures</w:t>
      </w:r>
      <w:r w:rsidR="00D044AB">
        <w:rPr>
          <w:rFonts w:cstheme="minorHAnsi"/>
          <w:sz w:val="24"/>
          <w:szCs w:val="24"/>
        </w:rPr>
        <w:t>.</w:t>
      </w:r>
    </w:p>
    <w:p w:rsidR="0094148D" w:rsidRDefault="0094148D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D044AB" w:rsidRDefault="00D044AB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D044AB" w:rsidRPr="00D044AB" w:rsidRDefault="00D044AB" w:rsidP="00852A20">
      <w:pPr>
        <w:pStyle w:val="ListParagraph"/>
        <w:ind w:left="-567" w:right="119" w:firstLine="284"/>
        <w:jc w:val="both"/>
        <w:rPr>
          <w:rFonts w:cstheme="minorHAnsi"/>
          <w:b/>
          <w:bCs/>
          <w:sz w:val="28"/>
          <w:szCs w:val="28"/>
        </w:rPr>
      </w:pPr>
      <w:r w:rsidRPr="00D044AB">
        <w:rPr>
          <w:rFonts w:cstheme="minorHAnsi"/>
          <w:b/>
          <w:bCs/>
          <w:sz w:val="28"/>
          <w:szCs w:val="28"/>
        </w:rPr>
        <w:t>Differential diagnosis</w:t>
      </w:r>
    </w:p>
    <w:p w:rsidR="00D044AB" w:rsidRPr="00D044AB" w:rsidRDefault="00D044AB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D044AB">
        <w:rPr>
          <w:rFonts w:cstheme="minorHAnsi"/>
          <w:sz w:val="24"/>
          <w:szCs w:val="24"/>
        </w:rPr>
        <w:t xml:space="preserve">A lesion in the inter‐radicular space of a </w:t>
      </w:r>
      <w:proofErr w:type="spellStart"/>
      <w:r w:rsidRPr="00D044AB">
        <w:rPr>
          <w:rFonts w:cstheme="minorHAnsi"/>
          <w:sz w:val="24"/>
          <w:szCs w:val="24"/>
        </w:rPr>
        <w:t>multirooted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tooth may be associated with problems originating</w:t>
      </w:r>
      <w:r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 xml:space="preserve">from the root canal or be the result of </w:t>
      </w:r>
      <w:proofErr w:type="spellStart"/>
      <w:r w:rsidRPr="00D044AB">
        <w:rPr>
          <w:rFonts w:cstheme="minorHAnsi"/>
          <w:sz w:val="24"/>
          <w:szCs w:val="24"/>
        </w:rPr>
        <w:t>occlusal</w:t>
      </w:r>
      <w:proofErr w:type="spellEnd"/>
      <w:r w:rsidRPr="00D044AB">
        <w:rPr>
          <w:rFonts w:cstheme="minorHAnsi"/>
          <w:sz w:val="24"/>
          <w:szCs w:val="24"/>
        </w:rPr>
        <w:t xml:space="preserve"> overload.</w:t>
      </w:r>
    </w:p>
    <w:p w:rsidR="00D044AB" w:rsidRPr="00D044AB" w:rsidRDefault="00D044AB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 w:rsidRPr="00D044AB">
        <w:rPr>
          <w:rFonts w:cstheme="minorHAnsi"/>
          <w:sz w:val="24"/>
          <w:szCs w:val="24"/>
        </w:rPr>
        <w:t>The treatment of a furcation‐involved tooth,</w:t>
      </w:r>
      <w:r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therefore, should not be initiated until a proper differential</w:t>
      </w:r>
      <w:r>
        <w:rPr>
          <w:rFonts w:cstheme="minorHAnsi"/>
          <w:sz w:val="24"/>
          <w:szCs w:val="24"/>
        </w:rPr>
        <w:t xml:space="preserve"> </w:t>
      </w:r>
      <w:r w:rsidRPr="00D044AB">
        <w:rPr>
          <w:rFonts w:cstheme="minorHAnsi"/>
          <w:sz w:val="24"/>
          <w:szCs w:val="24"/>
        </w:rPr>
        <w:t>diagnosis of the lesion has been made.</w:t>
      </w:r>
    </w:p>
    <w:p w:rsidR="00D044AB" w:rsidRDefault="00D044AB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1055ED" w:rsidRDefault="001055ED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1055ED" w:rsidRDefault="001055ED" w:rsidP="001055ED">
      <w:pPr>
        <w:pStyle w:val="ListParagraph"/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</w:p>
    <w:p w:rsidR="001055ED" w:rsidRPr="001055ED" w:rsidRDefault="00F014D8" w:rsidP="001055ED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1-</w:t>
      </w:r>
      <w:r w:rsidRPr="00F014D8">
        <w:rPr>
          <w:rFonts w:cstheme="minorHAnsi"/>
          <w:b/>
          <w:bCs/>
          <w:sz w:val="24"/>
          <w:szCs w:val="24"/>
        </w:rPr>
        <w:t xml:space="preserve">Pulpal </w:t>
      </w:r>
      <w:proofErr w:type="spellStart"/>
      <w:r w:rsidRPr="00F014D8">
        <w:rPr>
          <w:rFonts w:cstheme="minorHAnsi"/>
          <w:b/>
          <w:bCs/>
          <w:sz w:val="24"/>
          <w:szCs w:val="24"/>
        </w:rPr>
        <w:t>pathosis</w:t>
      </w:r>
      <w:proofErr w:type="spellEnd"/>
      <w:r w:rsidRPr="00F014D8">
        <w:rPr>
          <w:rFonts w:cstheme="minorHAnsi"/>
          <w:sz w:val="24"/>
          <w:szCs w:val="24"/>
        </w:rPr>
        <w:t xml:space="preserve"> </w:t>
      </w:r>
    </w:p>
    <w:p w:rsidR="00F014D8" w:rsidRPr="00BF3C22" w:rsidRDefault="00F014D8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Pr="00F014D8">
        <w:rPr>
          <w:rFonts w:cstheme="minorHAnsi"/>
          <w:sz w:val="24"/>
          <w:szCs w:val="24"/>
        </w:rPr>
        <w:t>may sometimes cause a lesion in the</w:t>
      </w:r>
      <w:r>
        <w:rPr>
          <w:rFonts w:cstheme="minorHAnsi"/>
          <w:sz w:val="24"/>
          <w:szCs w:val="24"/>
        </w:rPr>
        <w:t xml:space="preserve"> </w:t>
      </w:r>
      <w:r w:rsidRPr="00F014D8">
        <w:rPr>
          <w:rFonts w:cstheme="minorHAnsi"/>
          <w:sz w:val="24"/>
          <w:szCs w:val="24"/>
        </w:rPr>
        <w:t>periodontal tissues of the furcation.The radiographic appearance of such a defect may have</w:t>
      </w:r>
      <w:r>
        <w:rPr>
          <w:rFonts w:cstheme="minorHAnsi"/>
          <w:sz w:val="24"/>
          <w:szCs w:val="24"/>
        </w:rPr>
        <w:t xml:space="preserve"> </w:t>
      </w:r>
      <w:r w:rsidRPr="00F014D8">
        <w:rPr>
          <w:rFonts w:cstheme="minorHAnsi"/>
          <w:sz w:val="24"/>
          <w:szCs w:val="24"/>
        </w:rPr>
        <w:t>some features in common with a plaque‐associated furcation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lesion. In order to differentiate between the two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lesions, the vitality of the affected tooth must always be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tested. If the tooth is vital, a plaque‐associated lesion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should be suspected. If the tooth is non‐vital, the furcation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involvement may have an endodontic origin. In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such a case, proper endodontic treatment must always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precede periodontal therapy. In fact, endodontic therapy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may resolve the inflammatory lesion, soft and hard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tissue healing may occur, and the furcation defect will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 xml:space="preserve">disappear </w:t>
      </w:r>
      <w:r w:rsidR="00BF3C22">
        <w:rPr>
          <w:rFonts w:cstheme="minorHAnsi"/>
          <w:sz w:val="24"/>
          <w:szCs w:val="24"/>
        </w:rPr>
        <w:t>.</w:t>
      </w:r>
      <w:r w:rsidRPr="00BF3C22">
        <w:rPr>
          <w:rFonts w:cstheme="minorHAnsi"/>
          <w:sz w:val="24"/>
          <w:szCs w:val="24"/>
        </w:rPr>
        <w:t>If signs of healing of a furcation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defect fail to appear within 2 months of endodontic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treatment, the furcation involvement is probably associated</w:t>
      </w:r>
      <w:r w:rsidR="00BF3C22"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with marginal periodontitis.</w:t>
      </w:r>
    </w:p>
    <w:p w:rsidR="00D044AB" w:rsidRPr="00D044AB" w:rsidRDefault="00D044AB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EB383C" w:rsidRPr="00963F73" w:rsidRDefault="00EB383C" w:rsidP="00852A20">
      <w:pPr>
        <w:pStyle w:val="ListParagraph"/>
        <w:ind w:left="-567" w:right="119" w:firstLine="284"/>
        <w:jc w:val="both"/>
        <w:rPr>
          <w:rFonts w:cstheme="minorHAnsi"/>
          <w:sz w:val="24"/>
          <w:szCs w:val="24"/>
        </w:rPr>
      </w:pPr>
    </w:p>
    <w:p w:rsidR="00844EF2" w:rsidRPr="00747395" w:rsidRDefault="00844EF2" w:rsidP="00852A20">
      <w:pPr>
        <w:ind w:left="-567" w:right="119" w:firstLine="284"/>
        <w:jc w:val="both"/>
        <w:rPr>
          <w:rFonts w:cstheme="minorHAnsi"/>
          <w:sz w:val="18"/>
          <w:szCs w:val="18"/>
        </w:rPr>
      </w:pPr>
    </w:p>
    <w:p w:rsidR="00BF3C22" w:rsidRPr="00BF3C22" w:rsidRDefault="00BF3C22" w:rsidP="00852A20">
      <w:pPr>
        <w:ind w:left="-567" w:right="119" w:firstLine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2-</w:t>
      </w:r>
      <w:r w:rsidRPr="00BF3C22">
        <w:rPr>
          <w:rFonts w:cstheme="minorHAnsi"/>
          <w:b/>
          <w:bCs/>
          <w:sz w:val="24"/>
          <w:szCs w:val="24"/>
        </w:rPr>
        <w:t>Trauma from occlusion</w:t>
      </w:r>
    </w:p>
    <w:p w:rsidR="000579D2" w:rsidRDefault="00BF3C22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  <w:r w:rsidRPr="00BF3C22">
        <w:rPr>
          <w:rFonts w:cstheme="minorHAnsi"/>
          <w:sz w:val="24"/>
          <w:szCs w:val="24"/>
        </w:rPr>
        <w:t xml:space="preserve">Forces elicited by </w:t>
      </w:r>
      <w:proofErr w:type="spellStart"/>
      <w:r w:rsidRPr="00BF3C22">
        <w:rPr>
          <w:rFonts w:cstheme="minorHAnsi"/>
          <w:sz w:val="24"/>
          <w:szCs w:val="24"/>
        </w:rPr>
        <w:t>occlusal</w:t>
      </w:r>
      <w:proofErr w:type="spellEnd"/>
      <w:r w:rsidRPr="00BF3C22">
        <w:rPr>
          <w:rFonts w:cstheme="minorHAnsi"/>
          <w:sz w:val="24"/>
          <w:szCs w:val="24"/>
        </w:rPr>
        <w:t xml:space="preserve"> interferences, for example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F3C22">
        <w:rPr>
          <w:rFonts w:cstheme="minorHAnsi"/>
          <w:sz w:val="24"/>
          <w:szCs w:val="24"/>
        </w:rPr>
        <w:t>bruxers</w:t>
      </w:r>
      <w:proofErr w:type="spellEnd"/>
      <w:r w:rsidRPr="00BF3C22">
        <w:rPr>
          <w:rFonts w:cstheme="minorHAnsi"/>
          <w:sz w:val="24"/>
          <w:szCs w:val="24"/>
        </w:rPr>
        <w:t xml:space="preserve"> and </w:t>
      </w:r>
      <w:proofErr w:type="spellStart"/>
      <w:r w:rsidRPr="00BF3C22">
        <w:rPr>
          <w:rFonts w:cstheme="minorHAnsi"/>
          <w:sz w:val="24"/>
          <w:szCs w:val="24"/>
        </w:rPr>
        <w:t>clenchers</w:t>
      </w:r>
      <w:proofErr w:type="spellEnd"/>
      <w:r w:rsidRPr="00BF3C2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F3C22">
        <w:rPr>
          <w:rFonts w:cstheme="minorHAnsi"/>
          <w:sz w:val="24"/>
          <w:szCs w:val="24"/>
        </w:rPr>
        <w:t>may cause inflammation and tissue destruction or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 xml:space="preserve">adaptation within the inter‐radicular area of a </w:t>
      </w:r>
      <w:proofErr w:type="spellStart"/>
      <w:r w:rsidR="00B8502F" w:rsidRPr="00B8502F">
        <w:rPr>
          <w:rFonts w:cstheme="minorHAnsi"/>
          <w:sz w:val="24"/>
          <w:szCs w:val="24"/>
        </w:rPr>
        <w:t>multirooted</w:t>
      </w:r>
      <w:proofErr w:type="spellEnd"/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 xml:space="preserve">tooth. In such a tooth, </w:t>
      </w:r>
      <w:proofErr w:type="gramStart"/>
      <w:r w:rsidR="00B8502F">
        <w:rPr>
          <w:rFonts w:cstheme="minorHAnsi"/>
          <w:sz w:val="24"/>
          <w:szCs w:val="24"/>
        </w:rPr>
        <w:t xml:space="preserve">a </w:t>
      </w:r>
      <w:r w:rsidR="00B8502F" w:rsidRPr="00B8502F">
        <w:rPr>
          <w:rFonts w:cstheme="minorHAnsi"/>
          <w:sz w:val="24"/>
          <w:szCs w:val="24"/>
        </w:rPr>
        <w:t>radiolucency</w:t>
      </w:r>
      <w:proofErr w:type="gramEnd"/>
      <w:r w:rsidR="00B8502F" w:rsidRPr="00B8502F">
        <w:rPr>
          <w:rFonts w:cstheme="minorHAnsi"/>
          <w:sz w:val="24"/>
          <w:szCs w:val="24"/>
        </w:rPr>
        <w:t xml:space="preserve"> may be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seen in the radiograph of the root complex. The tooth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may exhibit increased mobility. Probing, however,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fails to detect an involvement of the furcation. In this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 xml:space="preserve">particular situation, </w:t>
      </w:r>
      <w:proofErr w:type="spellStart"/>
      <w:r w:rsidR="00B8502F" w:rsidRPr="00B8502F">
        <w:rPr>
          <w:rFonts w:cstheme="minorHAnsi"/>
          <w:sz w:val="24"/>
          <w:szCs w:val="24"/>
        </w:rPr>
        <w:t>occlusal</w:t>
      </w:r>
      <w:proofErr w:type="spellEnd"/>
      <w:r w:rsidR="00B8502F" w:rsidRPr="00B8502F">
        <w:rPr>
          <w:rFonts w:cstheme="minorHAnsi"/>
          <w:sz w:val="24"/>
          <w:szCs w:val="24"/>
        </w:rPr>
        <w:t xml:space="preserve"> adjustment must always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precede periodontal therapy. If the defects seen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within the root complex are of “</w:t>
      </w:r>
      <w:proofErr w:type="spellStart"/>
      <w:r w:rsidR="00B8502F" w:rsidRPr="00B8502F">
        <w:rPr>
          <w:rFonts w:cstheme="minorHAnsi"/>
          <w:sz w:val="24"/>
          <w:szCs w:val="24"/>
        </w:rPr>
        <w:t>occlusal</w:t>
      </w:r>
      <w:proofErr w:type="spellEnd"/>
      <w:r w:rsidR="00B8502F" w:rsidRPr="00B8502F">
        <w:rPr>
          <w:rFonts w:cstheme="minorHAnsi"/>
          <w:sz w:val="24"/>
          <w:szCs w:val="24"/>
        </w:rPr>
        <w:t>” origin, the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tooth will become stabilized and the defects disappear</w:t>
      </w:r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 xml:space="preserve">within weeks following correction of the </w:t>
      </w:r>
      <w:proofErr w:type="spellStart"/>
      <w:r w:rsidR="00B8502F" w:rsidRPr="00B8502F">
        <w:rPr>
          <w:rFonts w:cstheme="minorHAnsi"/>
          <w:sz w:val="24"/>
          <w:szCs w:val="24"/>
        </w:rPr>
        <w:t>occlusal</w:t>
      </w:r>
      <w:proofErr w:type="spellEnd"/>
      <w:r w:rsidR="00B8502F">
        <w:rPr>
          <w:rFonts w:cstheme="minorHAnsi"/>
          <w:sz w:val="24"/>
          <w:szCs w:val="24"/>
        </w:rPr>
        <w:t xml:space="preserve"> </w:t>
      </w:r>
      <w:r w:rsidR="00B8502F" w:rsidRPr="00B8502F">
        <w:rPr>
          <w:rFonts w:cstheme="minorHAnsi"/>
          <w:sz w:val="24"/>
          <w:szCs w:val="24"/>
        </w:rPr>
        <w:t>overload.</w:t>
      </w:r>
    </w:p>
    <w:p w:rsidR="001055ED" w:rsidRDefault="001055ED" w:rsidP="00852A20">
      <w:pPr>
        <w:ind w:left="-567" w:right="119" w:firstLine="284"/>
        <w:jc w:val="both"/>
        <w:rPr>
          <w:rFonts w:cstheme="minorHAnsi"/>
          <w:sz w:val="24"/>
          <w:szCs w:val="24"/>
        </w:rPr>
      </w:pPr>
    </w:p>
    <w:p w:rsidR="001055ED" w:rsidRDefault="001055ED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  <w:r w:rsidRPr="001055ED">
        <w:rPr>
          <w:rFonts w:ascii="Bodoni MT Black" w:hAnsi="Bodoni MT Black" w:cstheme="minorHAnsi"/>
          <w:b/>
          <w:bCs/>
          <w:sz w:val="24"/>
          <w:szCs w:val="24"/>
        </w:rPr>
        <w:t>(</w:t>
      </w:r>
      <w:r>
        <w:rPr>
          <w:rFonts w:ascii="Bodoni MT Black" w:hAnsi="Bodoni MT Black" w:cstheme="minorHAnsi"/>
          <w:b/>
          <w:bCs/>
          <w:sz w:val="24"/>
          <w:szCs w:val="24"/>
        </w:rPr>
        <w:t>C</w:t>
      </w:r>
      <w:r w:rsidRPr="001055ED">
        <w:rPr>
          <w:rFonts w:ascii="Bodoni MT Black" w:hAnsi="Bodoni MT Black" w:cstheme="minorHAnsi"/>
          <w:b/>
          <w:bCs/>
          <w:sz w:val="24"/>
          <w:szCs w:val="24"/>
        </w:rPr>
        <w:t xml:space="preserve">heck </w:t>
      </w:r>
      <w:proofErr w:type="gramStart"/>
      <w:r w:rsidRPr="001055ED">
        <w:rPr>
          <w:rFonts w:ascii="Bodoni MT Black" w:hAnsi="Bodoni MT Black" w:cstheme="minorHAnsi"/>
          <w:b/>
          <w:bCs/>
          <w:sz w:val="24"/>
          <w:szCs w:val="24"/>
        </w:rPr>
        <w:t>PowerPoint )</w:t>
      </w:r>
      <w:proofErr w:type="gramEnd"/>
    </w:p>
    <w:p w:rsidR="00A04250" w:rsidRDefault="00A04250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506335" w:rsidRDefault="00506335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506335" w:rsidRDefault="00506335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506335" w:rsidRDefault="00506335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506335" w:rsidRDefault="00506335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1055ED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</w:p>
    <w:p w:rsidR="00D75304" w:rsidRDefault="00D75304" w:rsidP="006B2DFC">
      <w:pPr>
        <w:ind w:right="119"/>
        <w:rPr>
          <w:rFonts w:ascii="Bodoni MT Black" w:hAnsi="Bodoni MT Black" w:cstheme="minorHAnsi"/>
          <w:b/>
          <w:bCs/>
          <w:sz w:val="24"/>
          <w:szCs w:val="24"/>
        </w:rPr>
      </w:pPr>
    </w:p>
    <w:p w:rsidR="006B2DFC" w:rsidRDefault="006B2DFC" w:rsidP="006B2DFC">
      <w:pPr>
        <w:ind w:right="119"/>
        <w:rPr>
          <w:rFonts w:ascii="Bodoni MT Black" w:hAnsi="Bodoni MT Black" w:cstheme="minorHAnsi"/>
          <w:b/>
          <w:bCs/>
          <w:sz w:val="24"/>
          <w:szCs w:val="24"/>
        </w:rPr>
      </w:pPr>
    </w:p>
    <w:p w:rsidR="00A04250" w:rsidRDefault="00506335" w:rsidP="00506335">
      <w:pPr>
        <w:ind w:left="-567" w:right="119" w:firstLine="284"/>
        <w:rPr>
          <w:rFonts w:ascii="Bodoni MT Black" w:hAnsi="Bodoni MT Black" w:cstheme="minorHAnsi"/>
          <w:b/>
          <w:bCs/>
          <w:sz w:val="24"/>
          <w:szCs w:val="24"/>
        </w:rPr>
      </w:pPr>
      <w:r>
        <w:rPr>
          <w:rFonts w:ascii="Bodoni MT Black" w:hAnsi="Bodoni MT Black" w:cstheme="minorHAnsi"/>
          <w:b/>
          <w:bCs/>
          <w:sz w:val="24"/>
          <w:szCs w:val="24"/>
        </w:rPr>
        <w:t xml:space="preserve">  </w:t>
      </w:r>
      <w:r w:rsidRPr="00506335">
        <w:rPr>
          <w:rFonts w:ascii="Bodoni MT Black" w:hAnsi="Bodoni MT Black" w:cstheme="minorHAnsi"/>
          <w:b/>
          <w:bCs/>
          <w:sz w:val="24"/>
          <w:szCs w:val="24"/>
        </w:rPr>
        <w:t xml:space="preserve">Perhaps the simple things are the most distinctive things, </w:t>
      </w:r>
      <w:proofErr w:type="gramStart"/>
      <w:r w:rsidRPr="00506335">
        <w:rPr>
          <w:rFonts w:ascii="Bodoni MT Black" w:hAnsi="Bodoni MT Black" w:cstheme="minorHAnsi"/>
          <w:b/>
          <w:bCs/>
          <w:sz w:val="24"/>
          <w:szCs w:val="24"/>
        </w:rPr>
        <w:t>but ..</w:t>
      </w:r>
      <w:proofErr w:type="gramEnd"/>
      <w:r w:rsidRPr="00506335">
        <w:rPr>
          <w:rFonts w:ascii="Bodoni MT Black" w:hAnsi="Bodoni MT Black" w:cstheme="minorHAnsi"/>
          <w:b/>
          <w:bCs/>
          <w:sz w:val="24"/>
          <w:szCs w:val="24"/>
        </w:rPr>
        <w:t xml:space="preserve"> </w:t>
      </w:r>
      <w:proofErr w:type="gramStart"/>
      <w:r w:rsidRPr="00506335">
        <w:rPr>
          <w:rFonts w:ascii="Bodoni MT Black" w:hAnsi="Bodoni MT Black" w:cstheme="minorHAnsi"/>
          <w:b/>
          <w:bCs/>
          <w:sz w:val="24"/>
          <w:szCs w:val="24"/>
        </w:rPr>
        <w:t>not</w:t>
      </w:r>
      <w:proofErr w:type="gramEnd"/>
      <w:r w:rsidRPr="00506335">
        <w:rPr>
          <w:rFonts w:ascii="Bodoni MT Black" w:hAnsi="Bodoni MT Black" w:cstheme="minorHAnsi"/>
          <w:b/>
          <w:bCs/>
          <w:sz w:val="24"/>
          <w:szCs w:val="24"/>
        </w:rPr>
        <w:t xml:space="preserve"> every eye sees</w:t>
      </w:r>
    </w:p>
    <w:p w:rsidR="00506335" w:rsidRDefault="00506335" w:rsidP="00506335">
      <w:pPr>
        <w:ind w:left="-567" w:right="119" w:firstLine="284"/>
        <w:jc w:val="right"/>
        <w:rPr>
          <w:rFonts w:ascii="Bodoni MT Black" w:hAnsi="Bodoni MT Black" w:cstheme="minorHAnsi"/>
          <w:b/>
          <w:bCs/>
          <w:sz w:val="24"/>
          <w:szCs w:val="24"/>
        </w:rPr>
      </w:pPr>
      <w:r w:rsidRPr="00506335">
        <w:rPr>
          <w:rFonts w:ascii="Bodoni MT Black" w:hAnsi="Bodoni MT Black" w:cstheme="minorHAnsi"/>
          <w:b/>
          <w:bCs/>
          <w:sz w:val="24"/>
          <w:szCs w:val="24"/>
        </w:rPr>
        <w:t>Rumi</w:t>
      </w:r>
    </w:p>
    <w:p w:rsidR="00E45E1D" w:rsidRPr="00E45E1D" w:rsidRDefault="00E45E1D" w:rsidP="00852A20">
      <w:pPr>
        <w:ind w:left="-567" w:right="119" w:firstLine="284"/>
        <w:jc w:val="both"/>
        <w:rPr>
          <w:rFonts w:cstheme="minorHAnsi"/>
          <w:sz w:val="18"/>
          <w:szCs w:val="18"/>
          <w:u w:val="single"/>
        </w:rPr>
      </w:pPr>
      <w:bookmarkStart w:id="0" w:name="_GoBack"/>
      <w:bookmarkEnd w:id="0"/>
    </w:p>
    <w:sectPr w:rsidR="00E45E1D" w:rsidRPr="00E45E1D" w:rsidSect="00341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58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84" w:rsidRDefault="00656F84" w:rsidP="001D4039">
      <w:pPr>
        <w:spacing w:after="0" w:line="240" w:lineRule="auto"/>
      </w:pPr>
      <w:r>
        <w:separator/>
      </w:r>
    </w:p>
  </w:endnote>
  <w:endnote w:type="continuationSeparator" w:id="0">
    <w:p w:rsidR="00656F84" w:rsidRDefault="00656F84" w:rsidP="001D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CA" w:rsidRDefault="00556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11766"/>
      <w:docPartObj>
        <w:docPartGallery w:val="Page Numbers (Bottom of Page)"/>
        <w:docPartUnique/>
      </w:docPartObj>
    </w:sdtPr>
    <w:sdtEndPr/>
    <w:sdtContent>
      <w:p w:rsidR="001D4039" w:rsidRDefault="009C3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DFC" w:rsidRPr="006B2DFC">
          <w:rPr>
            <w:rFonts w:cs="Calibri"/>
            <w:noProof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D4039" w:rsidRDefault="001D4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CA" w:rsidRDefault="00556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84" w:rsidRDefault="00656F84" w:rsidP="001D4039">
      <w:pPr>
        <w:spacing w:after="0" w:line="240" w:lineRule="auto"/>
      </w:pPr>
      <w:r>
        <w:separator/>
      </w:r>
    </w:p>
  </w:footnote>
  <w:footnote w:type="continuationSeparator" w:id="0">
    <w:p w:rsidR="00656F84" w:rsidRDefault="00656F84" w:rsidP="001D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CA" w:rsidRDefault="00656F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71204" o:spid="_x0000_s2055" type="#_x0000_t75" style="position:absolute;margin-left:0;margin-top:0;width:501.75pt;height:501.75pt;z-index:-251657216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5940"/>
      <w:docPartObj>
        <w:docPartGallery w:val="Watermarks"/>
        <w:docPartUnique/>
      </w:docPartObj>
    </w:sdtPr>
    <w:sdtEndPr/>
    <w:sdtContent>
      <w:p w:rsidR="001D4039" w:rsidRDefault="00656F84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4371205" o:spid="_x0000_s2056" type="#_x0000_t75" style="position:absolute;margin-left:0;margin-top:0;width:501.75pt;height:501.75pt;z-index:-251656192;mso-position-horizontal:center;mso-position-horizontal-relative:margin;mso-position-vertical:center;mso-position-vertical-relative:margin" o:allowincell="f">
              <v:imagedata r:id="rId1" o:title="photo_2020-06-16_22-45-46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CA" w:rsidRDefault="00656F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71203" o:spid="_x0000_s2054" type="#_x0000_t75" style="position:absolute;margin-left:0;margin-top:0;width:501.75pt;height:501.75pt;z-index:-251658240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308"/>
    <w:multiLevelType w:val="hybridMultilevel"/>
    <w:tmpl w:val="81D0A720"/>
    <w:lvl w:ilvl="0" w:tplc="5152300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33529D"/>
    <w:multiLevelType w:val="hybridMultilevel"/>
    <w:tmpl w:val="25F6B72A"/>
    <w:lvl w:ilvl="0" w:tplc="7806F5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62B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C338">
      <w:start w:val="2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8DD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A1C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E26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E7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CE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50748C"/>
    <w:multiLevelType w:val="hybridMultilevel"/>
    <w:tmpl w:val="010C7648"/>
    <w:lvl w:ilvl="0" w:tplc="347C0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24AC84">
      <w:start w:val="20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C7D96">
      <w:start w:val="20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C1AFC">
      <w:start w:val="206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A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8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4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2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A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646B56"/>
    <w:multiLevelType w:val="hybridMultilevel"/>
    <w:tmpl w:val="2CEA55BA"/>
    <w:lvl w:ilvl="0" w:tplc="1B68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2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8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3E5AD7"/>
    <w:multiLevelType w:val="hybridMultilevel"/>
    <w:tmpl w:val="916ED0D6"/>
    <w:lvl w:ilvl="0" w:tplc="19D211E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2D36E4"/>
    <w:multiLevelType w:val="hybridMultilevel"/>
    <w:tmpl w:val="15DC2006"/>
    <w:lvl w:ilvl="0" w:tplc="D0A6E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4260E">
      <w:start w:val="1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A94CC">
      <w:start w:val="17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C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6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C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C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67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591525"/>
    <w:multiLevelType w:val="hybridMultilevel"/>
    <w:tmpl w:val="E5D49980"/>
    <w:lvl w:ilvl="0" w:tplc="5898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E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8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2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8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A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C540F3"/>
    <w:multiLevelType w:val="hybridMultilevel"/>
    <w:tmpl w:val="55E210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203381"/>
    <w:multiLevelType w:val="hybridMultilevel"/>
    <w:tmpl w:val="1C0E95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D224E87"/>
    <w:multiLevelType w:val="hybridMultilevel"/>
    <w:tmpl w:val="9D1CAC0E"/>
    <w:lvl w:ilvl="0" w:tplc="01E05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9"/>
    <w:rsid w:val="00006116"/>
    <w:rsid w:val="00024FC2"/>
    <w:rsid w:val="000326E8"/>
    <w:rsid w:val="00034D1C"/>
    <w:rsid w:val="0004002B"/>
    <w:rsid w:val="00044C60"/>
    <w:rsid w:val="00051422"/>
    <w:rsid w:val="000579D2"/>
    <w:rsid w:val="00063501"/>
    <w:rsid w:val="000755EE"/>
    <w:rsid w:val="000960DF"/>
    <w:rsid w:val="000A5601"/>
    <w:rsid w:val="000A5947"/>
    <w:rsid w:val="000B3478"/>
    <w:rsid w:val="000C192C"/>
    <w:rsid w:val="000D03EB"/>
    <w:rsid w:val="000D4C3E"/>
    <w:rsid w:val="000D7B02"/>
    <w:rsid w:val="000F46E0"/>
    <w:rsid w:val="001055ED"/>
    <w:rsid w:val="001375D6"/>
    <w:rsid w:val="001424A8"/>
    <w:rsid w:val="00147170"/>
    <w:rsid w:val="00153E72"/>
    <w:rsid w:val="00156DF8"/>
    <w:rsid w:val="00164FFD"/>
    <w:rsid w:val="0016729E"/>
    <w:rsid w:val="00173C59"/>
    <w:rsid w:val="001866EE"/>
    <w:rsid w:val="001B4152"/>
    <w:rsid w:val="001D3E8A"/>
    <w:rsid w:val="001D4039"/>
    <w:rsid w:val="001F5587"/>
    <w:rsid w:val="00203EE1"/>
    <w:rsid w:val="0021138F"/>
    <w:rsid w:val="002217C7"/>
    <w:rsid w:val="00246259"/>
    <w:rsid w:val="00246EEE"/>
    <w:rsid w:val="0024719F"/>
    <w:rsid w:val="00250268"/>
    <w:rsid w:val="002530D9"/>
    <w:rsid w:val="00263474"/>
    <w:rsid w:val="00291780"/>
    <w:rsid w:val="002928C0"/>
    <w:rsid w:val="00297CF4"/>
    <w:rsid w:val="002A380F"/>
    <w:rsid w:val="002B1E8E"/>
    <w:rsid w:val="002B2F08"/>
    <w:rsid w:val="002C6A05"/>
    <w:rsid w:val="002D2BAB"/>
    <w:rsid w:val="002E372F"/>
    <w:rsid w:val="002E70A9"/>
    <w:rsid w:val="00306C82"/>
    <w:rsid w:val="003101C4"/>
    <w:rsid w:val="00313167"/>
    <w:rsid w:val="003210C5"/>
    <w:rsid w:val="003230C2"/>
    <w:rsid w:val="0033048B"/>
    <w:rsid w:val="00331B3E"/>
    <w:rsid w:val="00335D14"/>
    <w:rsid w:val="003371AE"/>
    <w:rsid w:val="003417D4"/>
    <w:rsid w:val="0035584E"/>
    <w:rsid w:val="00362159"/>
    <w:rsid w:val="0036659F"/>
    <w:rsid w:val="0039013F"/>
    <w:rsid w:val="003C1A26"/>
    <w:rsid w:val="003E0848"/>
    <w:rsid w:val="003F50BC"/>
    <w:rsid w:val="004122CB"/>
    <w:rsid w:val="00436C9B"/>
    <w:rsid w:val="0047211E"/>
    <w:rsid w:val="00481F56"/>
    <w:rsid w:val="004B7CF5"/>
    <w:rsid w:val="004C48FE"/>
    <w:rsid w:val="004C7683"/>
    <w:rsid w:val="004D06C5"/>
    <w:rsid w:val="004F0E85"/>
    <w:rsid w:val="00506165"/>
    <w:rsid w:val="00506335"/>
    <w:rsid w:val="00512380"/>
    <w:rsid w:val="0052260A"/>
    <w:rsid w:val="005238C9"/>
    <w:rsid w:val="005525C5"/>
    <w:rsid w:val="005568CA"/>
    <w:rsid w:val="00557FF5"/>
    <w:rsid w:val="00570246"/>
    <w:rsid w:val="00576D5E"/>
    <w:rsid w:val="00583EC6"/>
    <w:rsid w:val="005851EC"/>
    <w:rsid w:val="00587280"/>
    <w:rsid w:val="005A4E12"/>
    <w:rsid w:val="005A60CD"/>
    <w:rsid w:val="005B1F23"/>
    <w:rsid w:val="005B70F9"/>
    <w:rsid w:val="005B7F74"/>
    <w:rsid w:val="005C0EBF"/>
    <w:rsid w:val="00602D92"/>
    <w:rsid w:val="00605B2D"/>
    <w:rsid w:val="006171E2"/>
    <w:rsid w:val="006175A3"/>
    <w:rsid w:val="00624E0B"/>
    <w:rsid w:val="006415BB"/>
    <w:rsid w:val="00647BE8"/>
    <w:rsid w:val="00656F84"/>
    <w:rsid w:val="0066283D"/>
    <w:rsid w:val="00665941"/>
    <w:rsid w:val="00680936"/>
    <w:rsid w:val="00694188"/>
    <w:rsid w:val="00694440"/>
    <w:rsid w:val="006A00DB"/>
    <w:rsid w:val="006B2DFC"/>
    <w:rsid w:val="006B76F0"/>
    <w:rsid w:val="006C35AE"/>
    <w:rsid w:val="006D3C37"/>
    <w:rsid w:val="006D3F0F"/>
    <w:rsid w:val="006E043C"/>
    <w:rsid w:val="006E3457"/>
    <w:rsid w:val="006E350A"/>
    <w:rsid w:val="006E6BA1"/>
    <w:rsid w:val="006F54CF"/>
    <w:rsid w:val="0070454C"/>
    <w:rsid w:val="0070679A"/>
    <w:rsid w:val="00715915"/>
    <w:rsid w:val="00726649"/>
    <w:rsid w:val="007320BD"/>
    <w:rsid w:val="00741F08"/>
    <w:rsid w:val="00742CE9"/>
    <w:rsid w:val="00747395"/>
    <w:rsid w:val="00753E3F"/>
    <w:rsid w:val="0076176C"/>
    <w:rsid w:val="00764348"/>
    <w:rsid w:val="00764B89"/>
    <w:rsid w:val="0077031B"/>
    <w:rsid w:val="00773593"/>
    <w:rsid w:val="00780173"/>
    <w:rsid w:val="00790858"/>
    <w:rsid w:val="007D25AB"/>
    <w:rsid w:val="007D5108"/>
    <w:rsid w:val="007D7F31"/>
    <w:rsid w:val="007F08F3"/>
    <w:rsid w:val="007F70FC"/>
    <w:rsid w:val="0081358E"/>
    <w:rsid w:val="0082193C"/>
    <w:rsid w:val="00826FA2"/>
    <w:rsid w:val="00844EF2"/>
    <w:rsid w:val="00852A20"/>
    <w:rsid w:val="008548E8"/>
    <w:rsid w:val="00860C17"/>
    <w:rsid w:val="00875D4F"/>
    <w:rsid w:val="00876408"/>
    <w:rsid w:val="008953B7"/>
    <w:rsid w:val="008A0531"/>
    <w:rsid w:val="008A7FD9"/>
    <w:rsid w:val="008C7A29"/>
    <w:rsid w:val="008E2B09"/>
    <w:rsid w:val="008E74AA"/>
    <w:rsid w:val="00904DCF"/>
    <w:rsid w:val="009278A8"/>
    <w:rsid w:val="00932056"/>
    <w:rsid w:val="00936E8A"/>
    <w:rsid w:val="0094148D"/>
    <w:rsid w:val="00952215"/>
    <w:rsid w:val="00954135"/>
    <w:rsid w:val="00963F73"/>
    <w:rsid w:val="0097793A"/>
    <w:rsid w:val="00996099"/>
    <w:rsid w:val="009A02A9"/>
    <w:rsid w:val="009A2AF3"/>
    <w:rsid w:val="009A728A"/>
    <w:rsid w:val="009B5F0D"/>
    <w:rsid w:val="009C03FE"/>
    <w:rsid w:val="009C37FF"/>
    <w:rsid w:val="009C56FD"/>
    <w:rsid w:val="009D5CDD"/>
    <w:rsid w:val="009D6FBA"/>
    <w:rsid w:val="009F058B"/>
    <w:rsid w:val="00A04250"/>
    <w:rsid w:val="00A26439"/>
    <w:rsid w:val="00A414DF"/>
    <w:rsid w:val="00A431CC"/>
    <w:rsid w:val="00A44F38"/>
    <w:rsid w:val="00A5683E"/>
    <w:rsid w:val="00A91E38"/>
    <w:rsid w:val="00AA25FE"/>
    <w:rsid w:val="00AB1D4D"/>
    <w:rsid w:val="00AB6BC8"/>
    <w:rsid w:val="00AC2645"/>
    <w:rsid w:val="00AC2B20"/>
    <w:rsid w:val="00AD61A4"/>
    <w:rsid w:val="00AD7AF8"/>
    <w:rsid w:val="00AE1306"/>
    <w:rsid w:val="00AE15AF"/>
    <w:rsid w:val="00AE3B47"/>
    <w:rsid w:val="00AE5916"/>
    <w:rsid w:val="00B0797F"/>
    <w:rsid w:val="00B16DD9"/>
    <w:rsid w:val="00B3283D"/>
    <w:rsid w:val="00B54DC2"/>
    <w:rsid w:val="00B553CE"/>
    <w:rsid w:val="00B64ACD"/>
    <w:rsid w:val="00B776E5"/>
    <w:rsid w:val="00B8502F"/>
    <w:rsid w:val="00BB3F17"/>
    <w:rsid w:val="00BB7E29"/>
    <w:rsid w:val="00BC52DF"/>
    <w:rsid w:val="00BD1E94"/>
    <w:rsid w:val="00BD2594"/>
    <w:rsid w:val="00BE5250"/>
    <w:rsid w:val="00BF3C22"/>
    <w:rsid w:val="00C00888"/>
    <w:rsid w:val="00C04DC7"/>
    <w:rsid w:val="00C30718"/>
    <w:rsid w:val="00C33F07"/>
    <w:rsid w:val="00C35032"/>
    <w:rsid w:val="00C54577"/>
    <w:rsid w:val="00C54743"/>
    <w:rsid w:val="00C620CC"/>
    <w:rsid w:val="00C6542C"/>
    <w:rsid w:val="00C83777"/>
    <w:rsid w:val="00C93410"/>
    <w:rsid w:val="00C957AA"/>
    <w:rsid w:val="00CA4A05"/>
    <w:rsid w:val="00CC5818"/>
    <w:rsid w:val="00CE2DF8"/>
    <w:rsid w:val="00CF6D4E"/>
    <w:rsid w:val="00D044AB"/>
    <w:rsid w:val="00D10244"/>
    <w:rsid w:val="00D13AB1"/>
    <w:rsid w:val="00D20FC0"/>
    <w:rsid w:val="00D276E6"/>
    <w:rsid w:val="00D74A03"/>
    <w:rsid w:val="00D75304"/>
    <w:rsid w:val="00D91957"/>
    <w:rsid w:val="00D91D03"/>
    <w:rsid w:val="00D92503"/>
    <w:rsid w:val="00D96DCC"/>
    <w:rsid w:val="00DD47E4"/>
    <w:rsid w:val="00DD6443"/>
    <w:rsid w:val="00E042DF"/>
    <w:rsid w:val="00E36C76"/>
    <w:rsid w:val="00E45E1D"/>
    <w:rsid w:val="00E604F3"/>
    <w:rsid w:val="00E93B1E"/>
    <w:rsid w:val="00EA1D3C"/>
    <w:rsid w:val="00EB383C"/>
    <w:rsid w:val="00EB52AB"/>
    <w:rsid w:val="00EC2C1A"/>
    <w:rsid w:val="00EC71FF"/>
    <w:rsid w:val="00F00D47"/>
    <w:rsid w:val="00F014D8"/>
    <w:rsid w:val="00F10417"/>
    <w:rsid w:val="00F134FC"/>
    <w:rsid w:val="00F46BAB"/>
    <w:rsid w:val="00FA2292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numlist">
    <w:name w:val="unnumlist"/>
    <w:basedOn w:val="Normal"/>
    <w:rsid w:val="00E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C1A"/>
    <w:rPr>
      <w:b/>
      <w:bCs/>
    </w:rPr>
  </w:style>
  <w:style w:type="character" w:styleId="Emphasis">
    <w:name w:val="Emphasis"/>
    <w:basedOn w:val="DefaultParagraphFont"/>
    <w:uiPriority w:val="20"/>
    <w:qFormat/>
    <w:rsid w:val="00EC2C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2C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39"/>
  </w:style>
  <w:style w:type="paragraph" w:styleId="Footer">
    <w:name w:val="footer"/>
    <w:basedOn w:val="Normal"/>
    <w:link w:val="FooterChar"/>
    <w:uiPriority w:val="99"/>
    <w:unhideWhenUsed/>
    <w:rsid w:val="001D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39"/>
  </w:style>
  <w:style w:type="paragraph" w:styleId="ListParagraph">
    <w:name w:val="List Paragraph"/>
    <w:basedOn w:val="Normal"/>
    <w:uiPriority w:val="34"/>
    <w:qFormat/>
    <w:rsid w:val="00A4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numlist">
    <w:name w:val="unnumlist"/>
    <w:basedOn w:val="Normal"/>
    <w:rsid w:val="00E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C1A"/>
    <w:rPr>
      <w:b/>
      <w:bCs/>
    </w:rPr>
  </w:style>
  <w:style w:type="character" w:styleId="Emphasis">
    <w:name w:val="Emphasis"/>
    <w:basedOn w:val="DefaultParagraphFont"/>
    <w:uiPriority w:val="20"/>
    <w:qFormat/>
    <w:rsid w:val="00EC2C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2C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39"/>
  </w:style>
  <w:style w:type="paragraph" w:styleId="Footer">
    <w:name w:val="footer"/>
    <w:basedOn w:val="Normal"/>
    <w:link w:val="FooterChar"/>
    <w:uiPriority w:val="99"/>
    <w:unhideWhenUsed/>
    <w:rsid w:val="001D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39"/>
  </w:style>
  <w:style w:type="paragraph" w:styleId="ListParagraph">
    <w:name w:val="List Paragraph"/>
    <w:basedOn w:val="Normal"/>
    <w:uiPriority w:val="34"/>
    <w:qFormat/>
    <w:rsid w:val="00A4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4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3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1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33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5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4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4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5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0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90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0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0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8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3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94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53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6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38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41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89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3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2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B822-C490-4E74-9033-8964D697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7</cp:revision>
  <dcterms:created xsi:type="dcterms:W3CDTF">2020-12-18T19:40:00Z</dcterms:created>
  <dcterms:modified xsi:type="dcterms:W3CDTF">2021-01-29T13:13:00Z</dcterms:modified>
</cp:coreProperties>
</file>